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tbl>
      <w:tblPr>
        <w:tblW w:w="9638" w:type="dxa"/>
        <w:tblBorders>
          <w:top w:val="nil"/>
          <w:left w:val="nil"/>
          <w:bottom w:val="nil"/>
          <w:right w:val="nil"/>
          <w:insideH w:val="nil"/>
          <w:insideV w:val="nil"/>
        </w:tblBorders>
        <w:tblLayout w:type="fixed"/>
        <w:tblCellMar>
          <w:top w:w="70" w:type="dxa"/>
          <w:left w:w="110" w:type="dxa"/>
          <w:bottom w:w="70" w:type="dxa"/>
          <w:right w:w="110" w:type="dxa"/>
        </w:tblCellMar>
      </w:tblPr>
      <w:tblGrid>
        <w:gridCol w:w="200"/>
        <w:gridCol w:w="2200"/>
        <w:gridCol w:w="7238"/>
      </w:tblGrid>
      <w:tr>
        <w:tc>
          <w:tcPr>
            <w:tcW w:w="200" w:type="dxa"/>
            <w:shd w:val="clear" w:color="auto" w:fill="262578"/>
            <w:vAlign w:val="center"/>
          </w:tcPr>
          <w:p/>
        </w:tc>
        <w:tc>
          <w:tcPr>
            <w:tcW w:w="2200" w:type="dxa"/>
            <w:shd w:val="clear" w:color="auto" w:fill="FFFFFF"/>
            <w:vAlign w:val="center"/>
          </w:tcPr>
          <w:p>
            <w:pPr>
              <w:spacing w:before="120" w:after="120"/>
              <w:jc w:val="center"/>
            </w:pPr>
            <w:r>
              <w:drawing>
                <wp:inline distT="0" distB="0" distL="0" distR="0">
                  <wp:extent cx="984600" cy="1008000"/>
                  <wp:docPr id="2" name="Picture 2" descr="University of Port Harcourt logo"/>
                  <wp:cNvGraphicFramePr>
                    <a:graphicFrameLocks noChangeAspect="1"/>
                  </wp:cNvGraphicFramePr>
                  <a:graphic>
                    <a:graphicData uri="http://schemas.openxmlformats.org/drawingml/2006/picture">
                      <pic:pic>
                        <pic:nvPicPr>
                          <pic:cNvPr id="2" name="image1.png" descr="University of Port Harcourt logo"/>
                          <pic:cNvPicPr/>
                        </pic:nvPicPr>
                        <pic:blipFill>
                          <a:blip r:embed="rId11"/>
                          <a:stretch>
                            <a:fillRect/>
                          </a:stretch>
                        </pic:blipFill>
                        <pic:spPr>
                          <a:xfrm>
                            <a:off x="0" y="0"/>
                            <a:ext cx="984600" cy="1008000"/>
                          </a:xfrm>
                          <a:prstGeom prst="rect">
                            <a:avLst/>
                          </a:prstGeom>
                        </pic:spPr>
                      </pic:pic>
                    </a:graphicData>
                  </a:graphic>
                </wp:inline>
              </w:drawing>
            </w:r>
          </w:p>
        </w:tc>
        <w:tc>
          <w:tcPr>
            <w:tcW w:w="7238" w:type="dxa"/>
            <w:shd w:val="clear" w:color="auto" w:fill="262578"/>
            <w:vAlign w:val="center"/>
          </w:tcPr>
          <w:p>
            <w:pPr>
              <w:spacing w:before="0" w:after="40"/>
            </w:pPr>
            <w:r>
              <w:rPr>
                <w:b/>
                <w:color w:val="FFFFFF"/>
                <w:sz w:val="48"/>
              </w:rPr>
              <w:t xml:space="preserve">University of Port Harcourt</w:t>
            </w:r>
          </w:p>
          <w:p>
            <w:pPr>
              <w:spacing w:before="80" w:after="0"/>
            </w:pPr>
            <w:r>
              <w:rPr>
                <w:b/>
                <w:color w:val="FFFFFF"/>
                <w:sz w:val="18"/>
              </w:rPr>
              <w:t xml:space="preserve">Unclaimed profile   |   Education   |   Nigeria</w:t>
            </w:r>
          </w:p>
        </w:tc>
      </w:tr>
    </w:tbl>
    <w:p>
      <w:pPr>
        <w:spacing w:before="0" w:after="60"/>
      </w:pPr>
    </w:p>
    <w:tbl>
      <w:tblPr>
        <w:tblW w:w="9636"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9"/>
        <w:gridCol w:w="2409"/>
        <w:gridCol w:w="2409"/>
        <w:gridCol w:w="2409"/>
      </w:tblGrid>
      <w:tr>
        <w:trPr>
          <w:cantSplit/>
        </w:trPr>
        <w:tc>
          <w:tcPr>
            <w:tcW w:w="2409" w:type="dxa"/>
            <w:vAlign w:val="top"/>
          </w:tcPr>
          <w:p>
            <w:pPr>
              <w:spacing w:before="0" w:after="20"/>
            </w:pPr>
            <w:r>
              <w:rPr>
                <w:b/>
                <w:sz w:val="30"/>
              </w:rPr>
              <w:t xml:space="preserve">Education</w:t>
            </w:r>
          </w:p>
          <w:p>
            <w:pPr>
              <w:spacing w:before="0" w:after="0"/>
            </w:pPr>
            <w:r>
              <w:rPr>
                <w:color w:val="566377"/>
                <w:sz w:val="17"/>
              </w:rPr>
              <w:t xml:space="preserve">Industry</w:t>
            </w:r>
          </w:p>
        </w:tc>
        <w:tc>
          <w:tcPr>
            <w:tcW w:w="2409" w:type="dxa"/>
            <w:vAlign w:val="top"/>
          </w:tcPr>
          <w:p>
            <w:pPr>
              <w:spacing w:before="0" w:after="20"/>
            </w:pPr>
            <w:r>
              <w:rPr>
                <w:b/>
                <w:sz w:val="30"/>
              </w:rPr>
              <w:t xml:space="preserve">Nigeria</w:t>
            </w:r>
          </w:p>
          <w:p>
            <w:pPr>
              <w:spacing w:before="0" w:after="0"/>
            </w:pPr>
            <w:r>
              <w:rPr>
                <w:color w:val="566377"/>
                <w:sz w:val="17"/>
              </w:rPr>
              <w:t xml:space="preserve">Country</w:t>
            </w:r>
          </w:p>
        </w:tc>
        <w:tc>
          <w:tcPr>
            <w:tcW w:w="2409" w:type="dxa"/>
            <w:vAlign w:val="top"/>
          </w:tcPr>
          <w:p>
            <w:pPr>
              <w:spacing w:before="0" w:after="20"/>
            </w:pPr>
            <w:r>
              <w:rPr>
                <w:b/>
                <w:sz w:val="30"/>
              </w:rPr>
              <w:t xml:space="preserve">Port Harcourt Rivers State</w:t>
            </w:r>
          </w:p>
          <w:p>
            <w:pPr>
              <w:spacing w:before="0" w:after="0"/>
            </w:pPr>
            <w:r>
              <w:rPr>
                <w:color w:val="566377"/>
                <w:sz w:val="17"/>
              </w:rPr>
              <w:t xml:space="preserve">Head office</w:t>
            </w:r>
          </w:p>
        </w:tc>
        <w:tc>
          <w:tcPr>
            <w:tcW w:w="2409" w:type="dxa"/>
            <w:vAlign w:val="top"/>
          </w:tcPr>
          <w:p>
            <w:pPr>
              <w:spacing w:before="0" w:after="20"/>
            </w:pPr>
            <w:r>
              <w:rPr>
                <w:b/>
                <w:sz w:val="30"/>
              </w:rPr>
              <w:t xml:space="preserve">1975</w:t>
            </w:r>
          </w:p>
          <w:p>
            <w:pPr>
              <w:spacing w:before="0" w:after="0"/>
            </w:pPr>
            <w:r>
              <w:rPr>
                <w:color w:val="566377"/>
                <w:sz w:val="17"/>
              </w:rPr>
              <w:t xml:space="preserve">Founded</w:t>
            </w:r>
          </w:p>
        </w:tc>
      </w:tr>
    </w:tbl>
    <w:p>
      <w:pPr>
        <w:spacing w:before="0" w:after="60"/>
      </w:pPr>
    </w:p>
    <w:p>
      <w:pPr>
        <w:pStyle w:val="Heading1"/>
        <w:keepNext/>
      </w:pPr>
      <w:r>
        <w:t xml:space="preserve">Key information</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0"/>
        <w:gridCol w:w="7238"/>
      </w:tblGrid>
      <w:tr>
        <w:trPr>
          <w:cantSplit/>
        </w:trPr>
        <w:tc>
          <w:tcPr>
            <w:tcW w:w="2400" w:type="dxa"/>
            <w:shd w:val="clear" w:color="auto" w:fill="F7F9FC"/>
            <w:vAlign w:val="top"/>
          </w:tcPr>
          <w:p>
            <w:pPr>
              <w:spacing w:before="0" w:after="0"/>
            </w:pPr>
            <w:r>
              <w:rPr>
                <w:color w:val="566377"/>
                <w:sz w:val="19"/>
              </w:rPr>
              <w:t xml:space="preserve">Industry</w:t>
            </w:r>
          </w:p>
        </w:tc>
        <w:tc>
          <w:tcPr>
            <w:tcW w:w="7238" w:type="dxa"/>
            <w:vAlign w:val="top"/>
          </w:tcPr>
          <w:p>
            <w:pPr>
              <w:spacing w:before="0" w:after="0"/>
            </w:pPr>
            <w:r>
              <w:rPr>
                <w:b/>
              </w:rPr>
              <w:t xml:space="preserve">Education</w:t>
            </w:r>
          </w:p>
        </w:tc>
      </w:tr>
      <w:tr>
        <w:trPr>
          <w:cantSplit/>
        </w:trPr>
        <w:tc>
          <w:tcPr>
            <w:tcW w:w="2400" w:type="dxa"/>
            <w:shd w:val="clear" w:color="auto" w:fill="F7F9FC"/>
            <w:vAlign w:val="top"/>
          </w:tcPr>
          <w:p>
            <w:pPr>
              <w:spacing w:before="0" w:after="0"/>
            </w:pPr>
            <w:r>
              <w:rPr>
                <w:color w:val="566377"/>
                <w:sz w:val="19"/>
              </w:rPr>
              <w:t xml:space="preserve">Country</w:t>
            </w:r>
          </w:p>
        </w:tc>
        <w:tc>
          <w:tcPr>
            <w:tcW w:w="7238" w:type="dxa"/>
            <w:vAlign w:val="top"/>
          </w:tcPr>
          <w:p>
            <w:pPr>
              <w:spacing w:before="0" w:after="0"/>
            </w:pPr>
            <w:r>
              <w:rPr>
                <w:b/>
              </w:rPr>
              <w:t xml:space="preserve">Nigeria</w:t>
            </w:r>
          </w:p>
        </w:tc>
      </w:tr>
      <w:tr>
        <w:trPr>
          <w:cantSplit/>
        </w:trPr>
        <w:tc>
          <w:tcPr>
            <w:tcW w:w="2400" w:type="dxa"/>
            <w:shd w:val="clear" w:color="auto" w:fill="F7F9FC"/>
            <w:vAlign w:val="top"/>
          </w:tcPr>
          <w:p>
            <w:pPr>
              <w:spacing w:before="0" w:after="0"/>
            </w:pPr>
            <w:r>
              <w:rPr>
                <w:color w:val="566377"/>
                <w:sz w:val="19"/>
              </w:rPr>
              <w:t xml:space="preserve">Founded</w:t>
            </w:r>
          </w:p>
        </w:tc>
        <w:tc>
          <w:tcPr>
            <w:tcW w:w="7238" w:type="dxa"/>
            <w:vAlign w:val="top"/>
          </w:tcPr>
          <w:p>
            <w:pPr>
              <w:spacing w:before="0" w:after="0"/>
            </w:pPr>
            <w:r>
              <w:rPr>
                <w:b/>
              </w:rPr>
              <w:t xml:space="preserve">1975</w:t>
            </w:r>
          </w:p>
        </w:tc>
      </w:tr>
      <w:tr>
        <w:trPr>
          <w:cantSplit/>
        </w:trPr>
        <w:tc>
          <w:tcPr>
            <w:tcW w:w="2400" w:type="dxa"/>
            <w:shd w:val="clear" w:color="auto" w:fill="F7F9FC"/>
            <w:vAlign w:val="top"/>
          </w:tcPr>
          <w:p>
            <w:pPr>
              <w:spacing w:before="0" w:after="0"/>
            </w:pPr>
            <w:r>
              <w:rPr>
                <w:color w:val="566377"/>
                <w:sz w:val="19"/>
              </w:rPr>
              <w:t xml:space="preserve">Head office</w:t>
            </w:r>
          </w:p>
        </w:tc>
        <w:tc>
          <w:tcPr>
            <w:tcW w:w="7238" w:type="dxa"/>
            <w:vAlign w:val="top"/>
          </w:tcPr>
          <w:p>
            <w:pPr>
              <w:spacing w:before="0" w:after="0"/>
            </w:pPr>
            <w:r>
              <w:rPr>
                <w:b/>
              </w:rPr>
              <w:t xml:space="preserve">Port Harcourt Rivers State</w:t>
            </w:r>
          </w:p>
        </w:tc>
      </w:tr>
      <w:tr>
        <w:trPr>
          <w:cantSplit/>
        </w:trPr>
        <w:tc>
          <w:tcPr>
            <w:tcW w:w="2400" w:type="dxa"/>
            <w:shd w:val="clear" w:color="auto" w:fill="F7F9FC"/>
            <w:vAlign w:val="top"/>
          </w:tcPr>
          <w:p>
            <w:pPr>
              <w:spacing w:before="0" w:after="0"/>
            </w:pPr>
            <w:r>
              <w:rPr>
                <w:color w:val="566377"/>
                <w:sz w:val="19"/>
              </w:rPr>
              <w:t xml:space="preserve">Employees</w:t>
            </w:r>
          </w:p>
        </w:tc>
        <w:tc>
          <w:tcPr>
            <w:tcW w:w="7238" w:type="dxa"/>
            <w:vAlign w:val="top"/>
          </w:tcPr>
          <w:p>
            <w:pPr>
              <w:spacing w:before="0" w:after="0"/>
            </w:pPr>
            <w:r>
              <w:rPr>
                <w:b/>
              </w:rPr>
              <w:t xml:space="preserve">5000+</w:t>
            </w:r>
          </w:p>
        </w:tc>
      </w:tr>
    </w:tbl>
    <w:p>
      <w:pPr>
        <w:spacing w:before="0" w:after="60"/>
      </w:pPr>
    </w:p>
    <w:p>
      <w:pPr>
        <w:pStyle w:val="Heading1"/>
        <w:keepNext/>
      </w:pPr>
      <w:r>
        <w:t xml:space="preserve">About</w:t>
      </w:r>
    </w:p>
    <w:p>
      <w:pPr>
        <w:spacing w:before="0" w:after="100"/>
      </w:pPr>
      <w:r>
        <w:t xml:space="preserve">The University of Port Harcourt is one of Nigeria’s important public universities, established in 1975 and located in Port Harcourt, Rivers State, at the center of the country’s oil-producing South-South region. From the start, its identity was closely tied to the economic realities of the Niger Delta, especially the need to develop skilled professionals who could support and manage the fast-growing petroleum economy.</w:t>
      </w:r>
    </w:p>
    <w:p>
      <w:pPr>
        <w:spacing w:before="0" w:after="100"/>
      </w:pPr>
      <w:r>
        <w:t xml:space="preserve">Its founding purpose was not just to expand access to higher education, but to supply the technical and professional talent needed by a region that was becoming central to Nigeria’s national revenue. That meant training engineers, geoscientists, environmental scientists, economists, and other specialists whose work would shape the management of oil, gas, and the wider extractive economy. In that sense, UNIPORT was built with a strong practical purpose: to produce graduates who could participate meaningfully in the industries transforming their region.</w:t>
      </w:r>
    </w:p>
    <w:p>
      <w:pPr>
        <w:spacing w:before="0" w:after="100"/>
      </w:pPr>
      <w:r>
        <w:t xml:space="preserve">Over the years, the university’s engineering and science faculties have become especially well known for their relevance to the oil and gas sector. Their programs have maintained close ties with industry, helping create a steady pipeline of graduates into major companies such as Shell, TotalEnergies, Chevron, and NNPC. This industry connection has become one of UNIPORT’s defining strengths and has given the university a reputation that extends well beyond its overall size.</w:t>
      </w:r>
    </w:p>
    <w:p>
      <w:pPr>
        <w:spacing w:before="0" w:after="100"/>
      </w:pPr>
      <w:r>
        <w:t xml:space="preserve">The university’s influence is also visible in the professional footprint of its alumni. Many UNIPORT graduates occupy technical and managerial roles across Nigeria’s energy sector, especially in organizations where petroleum engineering, geoscience, and environmental expertise are essential. That presence has helped establish the university as a serious talent base for Nigeria’s most strategic industry.</w:t>
      </w:r>
    </w:p>
    <w:p>
      <w:pPr>
        <w:shd w:val="clear" w:color="auto" w:fill="E5E5EF"/>
        <w:spacing w:before="80" w:after="120"/>
        <w:ind w:left="120"/>
      </w:pPr>
      <w:r>
        <w:rPr>
          <w:b/>
        </w:rPr>
        <w:t xml:space="preserve">To provide quality university education and professional training in science, technology, management and the humanities.</w:t>
      </w:r>
      <w:r>
        <w:rPr>
          <w:i/>
          <w:color w:val="566377"/>
          <w:sz w:val="17"/>
        </w:rPr>
        <w:t xml:space="preserve">   Mission statement</w:t>
      </w:r>
    </w:p>
    <w:p>
      <w:pPr>
        <w:pStyle w:val="Heading1"/>
        <w:keepNext/>
      </w:pPr>
      <w:r>
        <w:t xml:space="preserve">Trust and reputation measures</w:t>
      </w:r>
    </w:p>
    <w:tbl>
      <w:tblPr>
        <w:tblW w:w="9636"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9"/>
        <w:gridCol w:w="2409"/>
        <w:gridCol w:w="2409"/>
        <w:gridCol w:w="2409"/>
      </w:tblGrid>
      <w:tr>
        <w:trPr>
          <w:cantSplit/>
        </w:trPr>
        <w:tc>
          <w:tcPr>
            <w:tcW w:w="2409" w:type="dxa"/>
            <w:vAlign w:val="top"/>
          </w:tcPr>
          <w:p>
            <w:pPr>
              <w:spacing w:before="0" w:after="20"/>
            </w:pPr>
            <w:r>
              <w:rPr>
                <w:b/>
                <w:color w:val="566377"/>
                <w:sz w:val="17"/>
              </w:rPr>
              <w:t xml:space="preserve">Trust Score</w:t>
            </w:r>
          </w:p>
          <w:p>
            <w:pPr>
              <w:spacing w:before="0" w:after="20"/>
            </w:pPr>
            <w:r>
              <w:rPr>
                <w:b/>
                <w:sz w:val="24"/>
              </w:rPr>
              <w:t xml:space="preserve">Not yet rated</w:t>
            </w:r>
          </w:p>
          <w:p>
            <w:pPr>
              <w:spacing w:before="0" w:after="0"/>
            </w:pPr>
            <w:r>
              <w:rPr>
                <w:color w:val="566377"/>
                <w:sz w:val="17"/>
              </w:rPr>
              <w:t xml:space="preserve">Needs reviews and evidence</w:t>
            </w:r>
          </w:p>
        </w:tc>
        <w:tc>
          <w:tcPr>
            <w:tcW w:w="2409" w:type="dxa"/>
            <w:vAlign w:val="top"/>
          </w:tcPr>
          <w:p>
            <w:pPr>
              <w:spacing w:before="0" w:after="20"/>
            </w:pPr>
            <w:r>
              <w:rPr>
                <w:b/>
                <w:color w:val="566377"/>
                <w:sz w:val="17"/>
              </w:rPr>
              <w:t xml:space="preserve">Profile Strength</w:t>
            </w:r>
          </w:p>
          <w:p>
            <w:pPr>
              <w:spacing w:before="0" w:after="20"/>
            </w:pPr>
            <w:r>
              <w:rPr>
                <w:b/>
                <w:sz w:val="24"/>
              </w:rPr>
              <w:t xml:space="preserve">36/100</w:t>
            </w:r>
          </w:p>
          <w:p>
            <w:pPr>
              <w:spacing w:before="0" w:after="0"/>
            </w:pPr>
            <w:r>
              <w:rPr>
                <w:color w:val="566377"/>
                <w:sz w:val="17"/>
              </w:rPr>
              <w:t xml:space="preserve">Incomplete Profile</w:t>
            </w:r>
          </w:p>
        </w:tc>
        <w:tc>
          <w:tcPr>
            <w:tcW w:w="2409" w:type="dxa"/>
            <w:vAlign w:val="top"/>
          </w:tcPr>
          <w:p>
            <w:pPr>
              <w:spacing w:before="0" w:after="20"/>
            </w:pPr>
            <w:r>
              <w:rPr>
                <w:b/>
                <w:color w:val="566377"/>
                <w:sz w:val="17"/>
              </w:rPr>
              <w:t xml:space="preserve">Evidence</w:t>
            </w:r>
          </w:p>
          <w:p>
            <w:pPr>
              <w:spacing w:before="0" w:after="20"/>
            </w:pPr>
            <w:r>
              <w:rPr>
                <w:b/>
                <w:sz w:val="24"/>
              </w:rPr>
              <w:t xml:space="preserve">No evidence recorded yet</w:t>
            </w:r>
          </w:p>
          <w:p>
            <w:pPr>
              <w:spacing w:before="0" w:after="0"/>
            </w:pPr>
          </w:p>
        </w:tc>
        <w:tc>
          <w:tcPr>
            <w:tcW w:w="2409" w:type="dxa"/>
            <w:vAlign w:val="top"/>
          </w:tcPr>
          <w:p>
            <w:pPr>
              <w:spacing w:before="0" w:after="20"/>
            </w:pPr>
            <w:r>
              <w:rPr>
                <w:b/>
                <w:color w:val="566377"/>
                <w:sz w:val="17"/>
              </w:rPr>
              <w:t xml:space="preserve">Status</w:t>
            </w:r>
          </w:p>
          <w:p>
            <w:pPr>
              <w:spacing w:before="0" w:after="20"/>
            </w:pPr>
            <w:r>
              <w:rPr>
                <w:b/>
                <w:sz w:val="24"/>
              </w:rPr>
              <w:t xml:space="preserve">Unclaimed profile</w:t>
            </w:r>
          </w:p>
          <w:p>
            <w:pPr>
              <w:spacing w:before="0" w:after="0"/>
            </w:pPr>
          </w:p>
        </w:tc>
      </w:tr>
    </w:tbl>
    <w:p>
      <w:pPr>
        <w:spacing w:before="0" w:after="60"/>
      </w:pPr>
    </w:p>
    <w:p>
      <w:pPr>
        <w:spacing w:before="0" w:after="40"/>
      </w:pPr>
      <w:r>
        <w:rPr>
          <w:b/>
          <w:color w:val="262578"/>
          <w:sz w:val="17"/>
        </w:rPr>
        <w:t xml:space="preserve">Brands Trust Score  </w:t>
      </w:r>
      <w:r>
        <w:rPr>
          <w:i/>
          <w:color w:val="566377"/>
          <w:sz w:val="17"/>
        </w:rPr>
        <w:t xml:space="preserve">A reputation measure built from approved reviews and evidence under a published methodology. It is not a measure of how complete a profile is, and payment never changes it.</w:t>
      </w:r>
    </w:p>
    <w:p>
      <w:pPr>
        <w:spacing w:before="0" w:after="40"/>
      </w:pPr>
      <w:r>
        <w:rPr>
          <w:b/>
          <w:color w:val="262578"/>
          <w:sz w:val="17"/>
        </w:rPr>
        <w:t xml:space="preserve">Profile Strength  </w:t>
      </w:r>
      <w:r>
        <w:rPr>
          <w:i/>
          <w:color w:val="566377"/>
          <w:sz w:val="17"/>
        </w:rPr>
        <w:t xml:space="preserve">How complete and well maintained the profile is. It does not change the Trust Score.</w:t>
      </w:r>
    </w:p>
    <w:p>
      <w:pPr>
        <w:spacing w:before="0" w:after="40"/>
      </w:pPr>
      <w:r>
        <w:rPr>
          <w:b/>
          <w:color w:val="262578"/>
          <w:sz w:val="17"/>
        </w:rPr>
        <w:t xml:space="preserve">Evidence coverage  </w:t>
      </w:r>
      <w:r>
        <w:rPr>
          <w:i/>
          <w:color w:val="566377"/>
          <w:sz w:val="17"/>
        </w:rPr>
        <w:t xml:space="preserve">How much of this profile is backed by recorded sources, and how independent they are.</w:t>
      </w:r>
    </w:p>
    <w:p>
      <w:pPr>
        <w:spacing w:before="0" w:after="40"/>
      </w:pPr>
      <w:r>
        <w:rPr>
          <w:b/>
          <w:color w:val="262578"/>
          <w:sz w:val="17"/>
        </w:rPr>
        <w:t xml:space="preserve">Status  </w:t>
      </w:r>
      <w:r>
        <w:rPr>
          <w:i/>
          <w:color w:val="566377"/>
          <w:sz w:val="17"/>
        </w:rPr>
        <w:t xml:space="preserve">No company representative has claimed this profile yet. It is compiled from public sources by Brands.Ng.</w:t>
      </w:r>
    </w:p>
    <w:p>
      <w:pPr>
        <w:pStyle w:val="Heading1"/>
        <w:keepNext/>
      </w:pPr>
      <w:r>
        <w:t xml:space="preserve">Brand identity</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9638"/>
      </w:tblGrid>
      <w:tr>
        <w:trPr>
          <w:cantSplit/>
        </w:trPr>
        <w:tc>
          <w:tcPr>
            <w:tcW w:w="9638" w:type="dxa"/>
            <w:shd w:val="clear" w:color="auto" w:fill="FFFFFF"/>
            <w:vAlign w:val="center"/>
          </w:tcPr>
          <w:p>
            <w:pPr>
              <w:spacing w:before="60" w:after="60"/>
              <w:jc w:val="center"/>
            </w:pPr>
            <w:r>
              <w:drawing>
                <wp:inline distT="0" distB="0" distL="0" distR="0">
                  <wp:extent cx="843943" cy="864000"/>
                  <wp:docPr id="3" name="Picture 3" descr="Primary logo"/>
                  <wp:cNvGraphicFramePr>
                    <a:graphicFrameLocks noChangeAspect="1"/>
                  </wp:cNvGraphicFramePr>
                  <a:graphic>
                    <a:graphicData uri="http://schemas.openxmlformats.org/drawingml/2006/picture">
                      <pic:pic>
                        <pic:nvPicPr>
                          <pic:cNvPr id="3" name="image2.png" descr="Primary logo"/>
                          <pic:cNvPicPr/>
                        </pic:nvPicPr>
                        <pic:blipFill>
                          <a:blip r:embed="rId12"/>
                          <a:stretch>
                            <a:fillRect/>
                          </a:stretch>
                        </pic:blipFill>
                        <pic:spPr>
                          <a:xfrm>
                            <a:off x="0" y="0"/>
                            <a:ext cx="843943" cy="864000"/>
                          </a:xfrm>
                          <a:prstGeom prst="rect">
                            <a:avLst/>
                          </a:prstGeom>
                        </pic:spPr>
                      </pic:pic>
                    </a:graphicData>
                  </a:graphic>
                </wp:inline>
              </w:drawing>
            </w:r>
          </w:p>
          <w:p>
            <w:pPr>
              <w:spacing w:before="0" w:after="0"/>
              <w:jc w:val="center"/>
            </w:pPr>
            <w:r>
              <w:rPr>
                <w:color w:val="566377"/>
                <w:sz w:val="16"/>
              </w:rPr>
              <w:t xml:space="preserve">Primary logo</w:t>
            </w:r>
          </w:p>
        </w:tc>
      </w:tr>
    </w:tbl>
    <w:p>
      <w:pPr>
        <w:spacing w:before="0" w:after="60"/>
      </w:pPr>
    </w:p>
    <w:p>
      <w:pPr>
        <w:pStyle w:val="Heading1"/>
        <w:keepNext/>
      </w:pPr>
      <w:r>
        <w:t xml:space="preserve">Latest news about University of Port Harcourt</w:t>
      </w:r>
    </w:p>
    <w:p>
      <w:pPr>
        <w:spacing w:before="0" w:after="50"/>
      </w:pPr>
      <w:r>
        <w:rPr>
          <w:color w:val="566377"/>
          <w:sz w:val="18"/>
        </w:rPr>
        <w:t xml:space="preserve">13 Aug 2026   </w:t>
      </w:r>
      <w:hyperlink r:id="rId13">
        <w:r>
          <w:rPr>
            <w:rStyle w:val="Hyperlink"/>
          </w:rPr>
          <w:t xml:space="preserve">Allen Onyema and the Air Peace Story: Building Nigeria’s Airline Powerhouse Amid Ambition and Controversy</w:t>
        </w:r>
      </w:hyperlink>
    </w:p>
    <w:p>
      <w:pPr>
        <w:spacing w:before="0" w:after="50"/>
      </w:pPr>
      <w:r>
        <w:rPr>
          <w:color w:val="566377"/>
          <w:sz w:val="18"/>
        </w:rPr>
        <w:t xml:space="preserve">29 Jun 2026   </w:t>
      </w:r>
      <w:hyperlink r:id="rId14">
        <w:r>
          <w:rPr>
            <w:rStyle w:val="Hyperlink"/>
          </w:rPr>
          <w:t xml:space="preserve">Airtel Nigeria Review: Is Airtel Better Than MTN in 2026?</w:t>
        </w:r>
      </w:hyperlink>
    </w:p>
    <w:p>
      <w:pPr>
        <w:spacing w:before="0" w:after="50"/>
      </w:pPr>
      <w:r>
        <w:rPr>
          <w:color w:val="566377"/>
          <w:sz w:val="18"/>
        </w:rPr>
        <w:t xml:space="preserve">28 May 2026   </w:t>
      </w:r>
      <w:hyperlink r:id="rId15">
        <w:r>
          <w:rPr>
            <w:rStyle w:val="Hyperlink"/>
          </w:rPr>
          <w:t xml:space="preserve">NgCareers Review 2026: Is It Legit for Job Search in Nigeria?</w:t>
        </w:r>
      </w:hyperlink>
    </w:p>
    <w:p>
      <w:pPr>
        <w:spacing w:before="0" w:after="50"/>
      </w:pPr>
      <w:r>
        <w:rPr>
          <w:color w:val="566377"/>
          <w:sz w:val="18"/>
        </w:rPr>
        <w:t xml:space="preserve">26 Mar 2026   </w:t>
      </w:r>
      <w:hyperlink r:id="rId16">
        <w:r>
          <w:rPr>
            <w:rStyle w:val="Hyperlink"/>
          </w:rPr>
          <w:t xml:space="preserve">OPay Review 2026: Is It Safe, Legit and Worth Using in Nigeria?</w:t>
        </w:r>
      </w:hyperlink>
    </w:p>
    <w:p>
      <w:r>
        <w:rPr>
          <w:i/>
          <w:color w:val="566377"/>
          <w:sz w:val="17"/>
        </w:rPr>
        <w:t xml:space="preserve">Articles published on Brands.Ng that mention this company.</w:t>
      </w:r>
    </w:p>
    <w:p>
      <w:pPr>
        <w:pStyle w:val="Heading1"/>
        <w:keepNext/>
      </w:pPr>
      <w:r>
        <w:t xml:space="preserve">Media, contacts and social</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0"/>
        <w:gridCol w:w="7238"/>
      </w:tblGrid>
      <w:tr>
        <w:trPr>
          <w:cantSplit/>
        </w:trPr>
        <w:tc>
          <w:tcPr>
            <w:tcW w:w="2400" w:type="dxa"/>
            <w:shd w:val="clear" w:color="auto" w:fill="F7F9FC"/>
            <w:vAlign w:val="top"/>
          </w:tcPr>
          <w:p>
            <w:pPr>
              <w:spacing w:before="0" w:after="0"/>
            </w:pPr>
            <w:r>
              <w:rPr>
                <w:color w:val="566377"/>
                <w:sz w:val="19"/>
              </w:rPr>
              <w:t xml:space="preserve">Head office</w:t>
            </w:r>
          </w:p>
        </w:tc>
        <w:tc>
          <w:tcPr>
            <w:tcW w:w="7238" w:type="dxa"/>
            <w:vAlign w:val="top"/>
          </w:tcPr>
          <w:p>
            <w:pPr>
              <w:spacing w:before="0" w:after="0"/>
            </w:pPr>
            <w:r>
              <w:rPr>
                <w:b/>
              </w:rPr>
              <w:t xml:space="preserve">Port Harcourt Rivers State</w:t>
            </w:r>
          </w:p>
        </w:tc>
      </w:tr>
    </w:tbl>
    <w:p>
      <w:pPr>
        <w:spacing w:before="0" w:after="60"/>
      </w:pPr>
    </w:p>
    <w:p>
      <w:pPr>
        <w:pStyle w:val="Heading1"/>
        <w:keepNext/>
      </w:pPr>
      <w:r>
        <w:t xml:space="preserve">About this document</w:t>
      </w:r>
    </w:p>
    <w:p>
      <w:pPr>
        <w:shd w:val="clear" w:color="auto" w:fill="F7F9FC"/>
        <w:spacing w:before="0" w:after="40"/>
        <w:ind w:left="80"/>
      </w:pPr>
      <w:r>
        <w:rPr>
          <w:sz w:val="18"/>
        </w:rPr>
        <w:t xml:space="preserve">Generated on 23 October 2026 from the Brands.Ng Brand Passport.</w:t>
      </w:r>
    </w:p>
    <w:p>
      <w:pPr>
        <w:shd w:val="clear" w:color="auto" w:fill="F7F9FC"/>
        <w:spacing w:before="0" w:after="40"/>
        <w:ind w:left="80"/>
      </w:pPr>
      <w:r>
        <w:rPr>
          <w:sz w:val="18"/>
        </w:rPr>
        <w:t xml:space="preserve">It contains only published, sourced information and may have changed since. Check the linked sources before relying on a fact.</w:t>
      </w:r>
    </w:p>
    <w:p>
      <w:pPr>
        <w:shd w:val="clear" w:color="auto" w:fill="F7F9FC"/>
        <w:spacing w:before="0" w:after="40"/>
        <w:ind w:left="80"/>
      </w:pPr>
      <w:r>
        <w:rPr>
          <w:sz w:val="18"/>
        </w:rPr>
        <w:t xml:space="preserve">"Verified" means Brands.Ng has verified the company through its own review process. It is not a government certification and does not guarantee every statement.</w:t>
      </w:r>
    </w:p>
    <w:p>
      <w:pPr>
        <w:shd w:val="clear" w:color="auto" w:fill="F7F9FC"/>
        <w:spacing w:before="0" w:after="120"/>
        <w:ind w:left="80"/>
      </w:pPr>
      <w:r>
        <w:rPr>
          <w:b/>
          <w:color w:val="566377"/>
          <w:sz w:val="18"/>
        </w:rPr>
        <w:t xml:space="preserve">Live profile:  </w:t>
      </w:r>
      <w:hyperlink r:id="rId17">
        <w:r>
          <w:rPr>
            <w:rStyle w:val="Hyperlink"/>
          </w:rPr>
          <w:t xml:space="preserve">https://brands.ng/companies/university-of-port-harcourt/</w:t>
        </w:r>
      </w:hyperlink>
    </w:p>
    <w:p>
      <w:pPr>
        <w:keepNext/>
        <w:spacing w:before="60" w:after="40"/>
      </w:pPr>
      <w:r>
        <w:rPr>
          <w:b/>
          <w:caps/>
          <w:color w:val="566377"/>
          <w:sz w:val="16"/>
        </w:rPr>
        <w:t xml:space="preserve">How to read the source labels</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3300"/>
        <w:gridCol w:w="6338"/>
      </w:tblGrid>
      <w:tr>
        <w:trPr>
          <w:cantSplit/>
        </w:trPr>
        <w:tc>
          <w:tcPr>
            <w:tcW w:w="3300" w:type="dxa"/>
            <w:vAlign w:val="top"/>
          </w:tcPr>
          <w:p>
            <w:pPr>
              <w:spacing w:before="0" w:after="0"/>
            </w:pPr>
            <w:r>
              <w:rPr>
                <w:b/>
                <w:color w:val="262578"/>
                <w:sz w:val="18"/>
              </w:rPr>
              <w:t xml:space="preserve">Company-confirmed</w:t>
            </w:r>
          </w:p>
        </w:tc>
        <w:tc>
          <w:tcPr>
            <w:tcW w:w="6338" w:type="dxa"/>
            <w:vAlign w:val="top"/>
          </w:tcPr>
          <w:p>
            <w:pPr>
              <w:spacing w:before="0" w:after="0"/>
            </w:pPr>
            <w:r>
              <w:rPr>
                <w:color w:val="566377"/>
                <w:sz w:val="18"/>
              </w:rPr>
              <w:t xml:space="preserve">Supplied by an authorised company representative and approved by Brands.Ng.</w:t>
            </w:r>
          </w:p>
        </w:tc>
      </w:tr>
      <w:tr>
        <w:trPr>
          <w:cantSplit/>
        </w:trPr>
        <w:tc>
          <w:tcPr>
            <w:tcW w:w="3300" w:type="dxa"/>
            <w:vAlign w:val="top"/>
          </w:tcPr>
          <w:p>
            <w:pPr>
              <w:spacing w:before="0" w:after="0"/>
            </w:pPr>
            <w:r>
              <w:rPr>
                <w:b/>
                <w:color w:val="262578"/>
                <w:sz w:val="18"/>
              </w:rPr>
              <w:t xml:space="preserve">Publicly documented</w:t>
            </w:r>
          </w:p>
        </w:tc>
        <w:tc>
          <w:tcPr>
            <w:tcW w:w="6338" w:type="dxa"/>
            <w:vAlign w:val="top"/>
          </w:tcPr>
          <w:p>
            <w:pPr>
              <w:spacing w:before="0" w:after="0"/>
            </w:pPr>
            <w:r>
              <w:rPr>
                <w:color w:val="566377"/>
                <w:sz w:val="18"/>
              </w:rPr>
              <w:t xml:space="preserve">Backed by a regulator or other primary record.</w:t>
            </w:r>
          </w:p>
        </w:tc>
      </w:tr>
      <w:tr>
        <w:trPr>
          <w:cantSplit/>
        </w:trPr>
        <w:tc>
          <w:tcPr>
            <w:tcW w:w="3300" w:type="dxa"/>
            <w:vAlign w:val="top"/>
          </w:tcPr>
          <w:p>
            <w:pPr>
              <w:spacing w:before="0" w:after="0"/>
            </w:pPr>
            <w:r>
              <w:rPr>
                <w:b/>
                <w:color w:val="262578"/>
                <w:sz w:val="18"/>
              </w:rPr>
              <w:t xml:space="preserve">Reported by independent source</w:t>
            </w:r>
          </w:p>
        </w:tc>
        <w:tc>
          <w:tcPr>
            <w:tcW w:w="6338" w:type="dxa"/>
            <w:vAlign w:val="top"/>
          </w:tcPr>
          <w:p>
            <w:pPr>
              <w:spacing w:before="0" w:after="0"/>
            </w:pPr>
            <w:r>
              <w:rPr>
                <w:color w:val="566377"/>
                <w:sz w:val="18"/>
              </w:rPr>
              <w:t xml:space="preserve">Reported by a publication that is not the company.</w:t>
            </w:r>
          </w:p>
        </w:tc>
      </w:tr>
      <w:tr>
        <w:trPr>
          <w:cantSplit/>
        </w:trPr>
        <w:tc>
          <w:tcPr>
            <w:tcW w:w="3300" w:type="dxa"/>
            <w:vAlign w:val="top"/>
          </w:tcPr>
          <w:p>
            <w:pPr>
              <w:spacing w:before="0" w:after="0"/>
            </w:pPr>
            <w:r>
              <w:rPr>
                <w:b/>
                <w:color w:val="262578"/>
                <w:sz w:val="18"/>
              </w:rPr>
              <w:t xml:space="preserve">Brands.Ng research</w:t>
            </w:r>
          </w:p>
        </w:tc>
        <w:tc>
          <w:tcPr>
            <w:tcW w:w="6338" w:type="dxa"/>
            <w:vAlign w:val="top"/>
          </w:tcPr>
          <w:p>
            <w:pPr>
              <w:spacing w:before="0" w:after="0"/>
            </w:pPr>
            <w:r>
              <w:rPr>
                <w:color w:val="566377"/>
                <w:sz w:val="18"/>
              </w:rPr>
              <w:t xml:space="preserve">Compiled by Brands.Ng editors; never counted as independent corroboration.</w:t>
            </w:r>
          </w:p>
        </w:tc>
      </w:tr>
      <w:tr>
        <w:trPr>
          <w:cantSplit/>
        </w:trPr>
        <w:tc>
          <w:tcPr>
            <w:tcW w:w="3300" w:type="dxa"/>
            <w:vAlign w:val="top"/>
          </w:tcPr>
          <w:p>
            <w:pPr>
              <w:spacing w:before="0" w:after="0"/>
            </w:pPr>
            <w:r>
              <w:rPr>
                <w:b/>
                <w:color w:val="262578"/>
                <w:sz w:val="18"/>
              </w:rPr>
              <w:t xml:space="preserve">Not publicly verified</w:t>
            </w:r>
          </w:p>
        </w:tc>
        <w:tc>
          <w:tcPr>
            <w:tcW w:w="6338" w:type="dxa"/>
            <w:vAlign w:val="top"/>
          </w:tcPr>
          <w:p>
            <w:pPr>
              <w:spacing w:before="0" w:after="0"/>
            </w:pPr>
            <w:r>
              <w:rPr>
                <w:color w:val="566377"/>
                <w:sz w:val="18"/>
              </w:rPr>
              <w:t xml:space="preserve">No source yet. It is left blank rather than guessed.</w:t>
            </w:r>
          </w:p>
        </w:tc>
      </w:tr>
    </w:tbl>
    <w:p>
      <w:pPr>
        <w:spacing w:before="0" w:after="60"/>
      </w:pPr>
    </w:p>
    <w:sectPr>
      <w:footerReference w:type="default" r:id="rId3"/>
      <w:pgSz w:w="11906" w:h="16838"/>
      <w:pgMar w:top="1134" w:right="1134" w:bottom="1134" w:left="1134" w:header="567" w:footer="567" w:gutter="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Bdr>
        <w:top w:val="single" w:sz="4" w:space="4" w:color="E3E8F1"/>
      </w:pBdr>
      <w:tabs>
        <w:tab w:val="right" w:pos="9638"/>
      </w:tabs>
    </w:pPr>
    <w:r>
      <w:rPr>
        <w:color w:val="566377"/>
        <w:sz w:val="16"/>
      </w:rPr>
      <w:t xml:space="preserve">Brands.Ng Brand Passport  |  University of Port Harcourt</w:t>
    </w:r>
    <w:r>
      <w:tab/>
    </w:r>
    <w:r>
      <w:rPr>
        <w:color w:val="566377"/>
        <w:sz w:val="16"/>
      </w:rPr>
      <w:t xml:space="preserve">Page </w:t>
    </w:r>
    <w:r>
      <w:rPr>
        <w:color w:val="566377"/>
        <w:sz w:val="16"/>
      </w:rPr>
      <w:fldChar w:fldCharType="begin"/>
    </w:r>
    <w:r>
      <w:rPr>
        <w:color w:val="566377"/>
        <w:sz w:val="16"/>
      </w:rPr>
      <w:instrText xml:space="preserve"> PAGE </w:instrText>
    </w:r>
    <w:r>
      <w:rPr>
        <w:color w:val="566377"/>
        <w:sz w:val="16"/>
      </w:rPr>
      <w:fldChar w:fldCharType="separate"/>
    </w:r>
    <w:r>
      <w:rPr>
        <w:color w:val="566377"/>
        <w:sz w:val="16"/>
      </w:rPr>
      <w:t>1</w:t>
    </w:r>
    <w:r>
      <w:rPr>
        <w:color w:val="566377"/>
        <w:sz w:val="16"/>
      </w:rPr>
      <w:fldChar w:fldCharType="end"/>
    </w:r>
    <w:r>
      <w:rPr>
        <w:color w:val="566377"/>
        <w:sz w:val="16"/>
      </w:rPr>
      <w:t xml:space="preserve"> of </w:t>
    </w:r>
    <w:r>
      <w:rPr>
        <w:color w:val="566377"/>
        <w:sz w:val="16"/>
      </w:rPr>
      <w:fldChar w:fldCharType="begin"/>
    </w:r>
    <w:r>
      <w:rPr>
        <w:color w:val="566377"/>
        <w:sz w:val="16"/>
      </w:rPr>
      <w:instrText xml:space="preserve"> NUMPAGES </w:instrText>
    </w:r>
    <w:r>
      <w:rPr>
        <w:color w:val="566377"/>
        <w:sz w:val="16"/>
      </w:rPr>
      <w:fldChar w:fldCharType="separate"/>
    </w:r>
    <w:r>
      <w:rPr>
        <w:color w:val="566377"/>
        <w:sz w:val="16"/>
      </w:rPr>
      <w:t>1</w:t>
    </w:r>
    <w:r>
      <w:rPr>
        <w:color w:val="566377"/>
        <w:sz w:val="16"/>
      </w:rPr>
      <w:fldChar w:fldCharType="end"/>
    </w:r>
  </w:p>
</w:ftr>
</file>

<file path=word/styles.xml><?xml version="1.0" encoding="utf-8"?>
<w:styles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docDefaults>
    <w:rPrDefault>
      <w:rPr>
        <w:rFonts w:ascii="Calibri" w:hAnsi="Calibri" w:eastAsia="Calibri" w:cs="Calibri"/>
        <w:color w:val="0F172A"/>
        <w:sz w:val="21"/>
        <w:szCs w:val="21"/>
        <w:lang w:val="en-GB"/>
      </w:rPr>
    </w:rPrDefault>
    <w:pPrDefault>
      <w:pPr>
        <w:spacing w:after="80" w:line="264" w:lineRule="auto"/>
      </w:pPr>
    </w:pPrDefault>
  </w:docDefaults>
  <w:style w:type="paragraph" w:default="1" w:styleId="Normal">
    <w:name w:val="Normal"/>
    <w:qFormat/>
  </w:style>
  <w:style w:type="paragraph" w:styleId="Heading1">
    <w:name w:val="heading 1"/>
    <w:basedOn w:val="Normal"/>
    <w:next w:val="Normal"/>
    <w:qFormat/>
    <w:pPr>
      <w:keepNext/>
      <w:pBdr>
        <w:bottom w:val="single" w:sz="6" w:space="3" w:color="262578"/>
      </w:pBdr>
      <w:spacing w:before="320" w:after="140"/>
      <w:outlineLvl w:val="0"/>
    </w:pPr>
    <w:rPr>
      <w:b/>
      <w:color w:val="262578"/>
      <w:sz w:val="28"/>
      <w:szCs w:val="28"/>
    </w:rPr>
  </w:style>
  <w:style w:type="character" w:styleId="Hyperlink">
    <w:name w:val="Hyperlink"/>
    <w:rPr>
      <w:color w:val="1D4ED8"/>
      <w:u w:val="single"/>
    </w:r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3" Type="http://schemas.openxmlformats.org/officeDocument/2006/relationships/footer" Target="footer1.xml"/><Relationship Id="rId13" Type="http://schemas.openxmlformats.org/officeDocument/2006/relationships/hyperlink" Target="https://brands.ng/allen-onyema-and-the-air-peace-story/" TargetMode="External"/><Relationship Id="rId14" Type="http://schemas.openxmlformats.org/officeDocument/2006/relationships/hyperlink" Target="https://brands.ng/brands-ng-airtel-nigeria-review-2026/" TargetMode="External"/><Relationship Id="rId15" Type="http://schemas.openxmlformats.org/officeDocument/2006/relationships/hyperlink" Target="https://brands.ng/ngcareers-review-2026-is-it-legit-for-job-search-in-nigeria/" TargetMode="External"/><Relationship Id="rId16" Type="http://schemas.openxmlformats.org/officeDocument/2006/relationships/hyperlink" Target="https://brands.ng/opay-review-in-nigeria-2026-is-it-safe-legit-and-worth-using/" TargetMode="External"/><Relationship Id="rId17" Type="http://schemas.openxmlformats.org/officeDocument/2006/relationships/hyperlink" Target="https://brands.ng/companies/university-of-port-harcourt/" TargetMode="External"/><Relationship Id="rId11" Type="http://schemas.openxmlformats.org/officeDocument/2006/relationships/image" Target="media/image1.png"/><Relationship Id="rId12" Type="http://schemas.openxmlformats.org/officeDocument/2006/relationships/image" Target="media/image2.png"/></Relationships>
</file>

<file path=docProps/app.xml><?xml version="1.0" encoding="utf-8"?>
<Properties xmlns="http://schemas.openxmlformats.org/officeDocument/2006/extended-properties">
  <Application>Brands.Ng Brand Passport</Application>
</Properties>
</file>

<file path=docProps/core.xml><?xml version="1.0" encoding="utf-8"?>
<cp:coreProperties xmlns:cp="http://schemas.openxmlformats.org/package/2006/metadata/core-properties" xmlns:dc="http://purl.org/dc/elements/1.1/" xmlns:dcterms="http://purl.org/dc/terms/" xmlns:xsi="http://www.w3.org/2001/XMLSchema-instance">
  <dc:title>University of Port Harcourt - Brand Profile</dc:title>
  <dc:subject>Brand profile of University of Port Harcourt</dc:subject>
  <dc:creator>Brands.Ng</dc:creator>
  <dcterms:created xsi:type="dcterms:W3CDTF">2026-10-23T22:26:30Z</dcterms:created>
</cp:coreProperties>
</file>