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Borders>
          <w:top w:val="nil"/>
          <w:left w:val="nil"/>
          <w:bottom w:val="nil"/>
          <w:right w:val="nil"/>
          <w:insideH w:val="nil"/>
          <w:insideV w:val="nil"/>
        </w:tblBorders>
        <w:tblLayout w:type="fixed"/>
        <w:tblCellMar>
          <w:top w:w="70" w:type="dxa"/>
          <w:left w:w="110" w:type="dxa"/>
          <w:bottom w:w="70" w:type="dxa"/>
          <w:right w:w="110" w:type="dxa"/>
        </w:tblCellMar>
      </w:tblPr>
      <w:tblGrid>
        <w:gridCol w:w="200"/>
        <w:gridCol w:w="2200"/>
        <w:gridCol w:w="7238"/>
      </w:tblGrid>
      <w:tr>
        <w:tc>
          <w:tcPr>
            <w:tcW w:w="200" w:type="dxa"/>
            <w:shd w:val="clear" w:color="auto" w:fill="262578"/>
            <w:vAlign w:val="center"/>
          </w:tcPr>
          <w:p/>
        </w:tc>
        <w:tc>
          <w:tcPr>
            <w:tcW w:w="2200" w:type="dxa"/>
            <w:shd w:val="clear" w:color="auto" w:fill="FFFFFF"/>
            <w:vAlign w:val="center"/>
          </w:tcPr>
          <w:p>
            <w:pPr>
              <w:spacing w:before="120" w:after="120"/>
              <w:jc w:val="center"/>
            </w:pPr>
            <w:r>
              <w:drawing>
                <wp:inline distT="0" distB="0" distL="0" distR="0">
                  <wp:extent cx="1008000" cy="1008000"/>
                  <wp:docPr id="2" name="Picture 2" descr="uLesson Education logo"/>
                  <wp:cNvGraphicFramePr>
                    <a:graphicFrameLocks noChangeAspect="1"/>
                  </wp:cNvGraphicFramePr>
                  <a:graphic>
                    <a:graphicData uri="http://schemas.openxmlformats.org/drawingml/2006/picture">
                      <pic:pic>
                        <pic:nvPicPr>
                          <pic:cNvPr id="2" name="image1.png" descr="uLesson Education logo"/>
                          <pic:cNvPicPr/>
                        </pic:nvPicPr>
                        <pic:blipFill>
                          <a:blip r:embed="rId11"/>
                          <a:stretch>
                            <a:fillRect/>
                          </a:stretch>
                        </pic:blipFill>
                        <pic:spPr>
                          <a:xfrm>
                            <a:off x="0" y="0"/>
                            <a:ext cx="1008000" cy="1008000"/>
                          </a:xfrm>
                          <a:prstGeom prst="rect">
                            <a:avLst/>
                          </a:prstGeom>
                        </pic:spPr>
                      </pic:pic>
                    </a:graphicData>
                  </a:graphic>
                </wp:inline>
              </w:drawing>
            </w:r>
          </w:p>
        </w:tc>
        <w:tc>
          <w:tcPr>
            <w:tcW w:w="7238" w:type="dxa"/>
            <w:shd w:val="clear" w:color="auto" w:fill="262578"/>
            <w:vAlign w:val="center"/>
          </w:tcPr>
          <w:p>
            <w:pPr>
              <w:spacing w:before="0" w:after="40"/>
            </w:pPr>
            <w:r>
              <w:rPr>
                <w:b/>
                <w:color w:val="FFFFFF"/>
                <w:sz w:val="48"/>
              </w:rPr>
              <w:t xml:space="preserve">uLesson Education</w:t>
            </w:r>
          </w:p>
          <w:p>
            <w:pPr>
              <w:spacing w:before="80" w:after="0"/>
            </w:pPr>
            <w:r>
              <w:rPr>
                <w:b/>
                <w:color w:val="FFFFFF"/>
                <w:sz w:val="18"/>
              </w:rPr>
              <w:t xml:space="preserve">Unclaimed profile   |   Education   |   Nigeria</w:t>
            </w:r>
          </w:p>
        </w:tc>
      </w:tr>
    </w:tbl>
    <w:p>
      <w:pPr>
        <w:spacing w:before="0" w:after="60"/>
      </w:pP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sz w:val="30"/>
              </w:rPr>
              <w:t xml:space="preserve">Education</w:t>
            </w:r>
          </w:p>
          <w:p>
            <w:pPr>
              <w:spacing w:before="0" w:after="0"/>
            </w:pPr>
            <w:r>
              <w:rPr>
                <w:color w:val="566377"/>
                <w:sz w:val="17"/>
              </w:rPr>
              <w:t xml:space="preserve">Industry</w:t>
            </w:r>
          </w:p>
        </w:tc>
        <w:tc>
          <w:tcPr>
            <w:tcW w:w="2409" w:type="dxa"/>
            <w:vAlign w:val="top"/>
          </w:tcPr>
          <w:p>
            <w:pPr>
              <w:spacing w:before="0" w:after="20"/>
            </w:pPr>
            <w:r>
              <w:rPr>
                <w:b/>
                <w:sz w:val="30"/>
              </w:rPr>
              <w:t xml:space="preserve">Nigeria</w:t>
            </w:r>
          </w:p>
          <w:p>
            <w:pPr>
              <w:spacing w:before="0" w:after="0"/>
            </w:pPr>
            <w:r>
              <w:rPr>
                <w:color w:val="566377"/>
                <w:sz w:val="17"/>
              </w:rPr>
              <w:t xml:space="preserve">Country</w:t>
            </w:r>
          </w:p>
        </w:tc>
        <w:tc>
          <w:tcPr>
            <w:tcW w:w="2409" w:type="dxa"/>
            <w:vAlign w:val="top"/>
          </w:tcPr>
          <w:p>
            <w:pPr>
              <w:spacing w:before="0" w:after="20"/>
            </w:pPr>
            <w:r>
              <w:rPr>
                <w:b/>
                <w:sz w:val="30"/>
              </w:rPr>
              <w:t xml:space="preserve">Lagos, Nigeria</w:t>
            </w:r>
          </w:p>
          <w:p>
            <w:pPr>
              <w:spacing w:before="0" w:after="0"/>
            </w:pPr>
            <w:r>
              <w:rPr>
                <w:color w:val="566377"/>
                <w:sz w:val="17"/>
              </w:rPr>
              <w:t xml:space="preserve">Head office</w:t>
            </w:r>
          </w:p>
        </w:tc>
        <w:tc>
          <w:tcPr>
            <w:tcW w:w="2409" w:type="dxa"/>
            <w:vAlign w:val="top"/>
          </w:tcPr>
          <w:p>
            <w:pPr>
              <w:spacing w:before="0" w:after="20"/>
            </w:pPr>
            <w:r>
              <w:rPr>
                <w:b/>
                <w:sz w:val="30"/>
              </w:rPr>
              <w:t xml:space="preserve">2019</w:t>
            </w:r>
          </w:p>
          <w:p>
            <w:pPr>
              <w:spacing w:before="0" w:after="0"/>
            </w:pPr>
            <w:r>
              <w:rPr>
                <w:color w:val="566377"/>
                <w:sz w:val="17"/>
              </w:rPr>
              <w:t xml:space="preserve">Founded</w:t>
            </w:r>
          </w:p>
        </w:tc>
      </w:tr>
    </w:tbl>
    <w:p>
      <w:pPr>
        <w:spacing w:before="0" w:after="60"/>
      </w:pPr>
    </w:p>
    <w:p>
      <w:pPr>
        <w:pStyle w:val="Heading1"/>
        <w:keepNext/>
      </w:pPr>
      <w:r>
        <w:t xml:space="preserve">Key information</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Industry</w:t>
            </w:r>
          </w:p>
        </w:tc>
        <w:tc>
          <w:tcPr>
            <w:tcW w:w="7238" w:type="dxa"/>
            <w:vAlign w:val="top"/>
          </w:tcPr>
          <w:p>
            <w:pPr>
              <w:spacing w:before="0" w:after="0"/>
            </w:pPr>
            <w:r>
              <w:rPr>
                <w:b/>
              </w:rPr>
              <w:t xml:space="preserve">Education</w:t>
            </w:r>
          </w:p>
        </w:tc>
      </w:tr>
      <w:tr>
        <w:trPr>
          <w:cantSplit/>
        </w:trPr>
        <w:tc>
          <w:tcPr>
            <w:tcW w:w="2400" w:type="dxa"/>
            <w:shd w:val="clear" w:color="auto" w:fill="F7F9FC"/>
            <w:vAlign w:val="top"/>
          </w:tcPr>
          <w:p>
            <w:pPr>
              <w:spacing w:before="0" w:after="0"/>
            </w:pPr>
            <w:r>
              <w:rPr>
                <w:color w:val="566377"/>
                <w:sz w:val="19"/>
              </w:rPr>
              <w:t xml:space="preserve">Country</w:t>
            </w:r>
          </w:p>
        </w:tc>
        <w:tc>
          <w:tcPr>
            <w:tcW w:w="7238" w:type="dxa"/>
            <w:vAlign w:val="top"/>
          </w:tcPr>
          <w:p>
            <w:pPr>
              <w:spacing w:before="0" w:after="0"/>
            </w:pPr>
            <w:r>
              <w:rPr>
                <w:b/>
              </w:rPr>
              <w:t xml:space="preserve">Nigeria</w:t>
            </w:r>
          </w:p>
        </w:tc>
      </w:tr>
      <w:tr>
        <w:trPr>
          <w:cantSplit/>
        </w:trPr>
        <w:tc>
          <w:tcPr>
            <w:tcW w:w="2400" w:type="dxa"/>
            <w:shd w:val="clear" w:color="auto" w:fill="F7F9FC"/>
            <w:vAlign w:val="top"/>
          </w:tcPr>
          <w:p>
            <w:pPr>
              <w:spacing w:before="0" w:after="0"/>
            </w:pPr>
            <w:r>
              <w:rPr>
                <w:color w:val="566377"/>
                <w:sz w:val="19"/>
              </w:rPr>
              <w:t xml:space="preserve">Founded</w:t>
            </w:r>
          </w:p>
        </w:tc>
        <w:tc>
          <w:tcPr>
            <w:tcW w:w="7238" w:type="dxa"/>
            <w:vAlign w:val="top"/>
          </w:tcPr>
          <w:p>
            <w:pPr>
              <w:spacing w:before="0" w:after="0"/>
            </w:pPr>
            <w:r>
              <w:rPr>
                <w:b/>
              </w:rPr>
              <w:t xml:space="preserve">2019</w:t>
            </w:r>
          </w:p>
        </w:tc>
      </w:tr>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Lagos, Nigeria</w:t>
            </w:r>
          </w:p>
        </w:tc>
      </w:tr>
    </w:tbl>
    <w:p>
      <w:pPr>
        <w:spacing w:before="0" w:after="60"/>
      </w:pPr>
    </w:p>
    <w:p>
      <w:pPr>
        <w:pStyle w:val="Heading1"/>
        <w:keepNext/>
      </w:pPr>
      <w:r>
        <w:t xml:space="preserve">About</w:t>
      </w:r>
    </w:p>
    <w:p>
      <w:pPr>
        <w:spacing w:before="0" w:after="100"/>
      </w:pPr>
      <w:r>
        <w:t xml:space="preserve">uLesson Education is a Nigerian edtech company that provides digital learning solutions for primary and secondary school students across Africa. Founded in 2019 by Sim Shagaya, the platform was created to improve access to quality education through curriculum-aligned, technology-driven learning.</w:t>
      </w:r>
    </w:p>
    <w:p>
      <w:pPr>
        <w:spacing w:before="0" w:after="100"/>
      </w:pPr>
      <w:r>
        <w:t xml:space="preserve">The company’s core offering is the uLesson app, which delivers video lessons, quizzes, practice tests, and exam preparation content for learners preparing for assessments such as WAEC, NECO, JAMB, BECE, GCSE, and A-levels. Its learning materials cover key subjects including mathematics, English, science, business studies, and technology, with content designed to make learning more engaging, structured, and accessible.</w:t>
      </w:r>
    </w:p>
    <w:p>
      <w:pPr>
        <w:spacing w:before="0" w:after="100"/>
      </w:pPr>
      <w:r>
        <w:t xml:space="preserve">uLesson’s model is built around personalised learning and strong alignment with school curricula. The platform combines educational media and instructional technology to support students in primary, junior secondary, and senior secondary school, while also helping parents and teachers track learning progress. It has also expanded its product suite to include tools for schools, including classroom support solutions.</w:t>
      </w:r>
    </w:p>
    <w:p>
      <w:pPr>
        <w:spacing w:before="0" w:after="100"/>
      </w:pPr>
      <w:r>
        <w:t xml:space="preserve">Headquartered in Nigeria, with public sources associating the company with Abuja, uLesson has positioned itself as a major player in the African edtech space. Its growth reflects rising demand for digital education tools that can bridge gaps in access, affordability, and teaching quality. By focusing on exam readiness and practical understanding, the platform appeals strongly to families, schools, and learners seeking structured academic support.</w:t>
      </w:r>
    </w:p>
    <w:p>
      <w:pPr>
        <w:spacing w:before="0" w:after="100"/>
      </w:pPr>
      <w:r>
        <w:t xml:space="preserve">Over time, uLesson has become one of Nigeria’s best-known education technology brands, recognised for its use of high-quality video instruction and user-friendly learning design. Its reach extends beyond Nigeria into other African markets, reinforcing its ambition to serve learners across the continent.</w:t>
      </w:r>
    </w:p>
    <w:p>
      <w:pPr>
        <w:pStyle w:val="Heading1"/>
        <w:keepNext/>
      </w:pPr>
      <w:r>
        <w:t xml:space="preserve">Trust and reputation measures</w:t>
      </w: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color w:val="566377"/>
                <w:sz w:val="17"/>
              </w:rPr>
              <w:t xml:space="preserve">Trust Score</w:t>
            </w:r>
          </w:p>
          <w:p>
            <w:pPr>
              <w:spacing w:before="0" w:after="20"/>
            </w:pPr>
            <w:r>
              <w:rPr>
                <w:b/>
                <w:sz w:val="24"/>
              </w:rPr>
              <w:t xml:space="preserve">Not yet rated</w:t>
            </w:r>
          </w:p>
          <w:p>
            <w:pPr>
              <w:spacing w:before="0" w:after="0"/>
            </w:pPr>
            <w:r>
              <w:rPr>
                <w:color w:val="566377"/>
                <w:sz w:val="17"/>
              </w:rPr>
              <w:t xml:space="preserve">Needs reviews and evidence</w:t>
            </w:r>
          </w:p>
        </w:tc>
        <w:tc>
          <w:tcPr>
            <w:tcW w:w="2409" w:type="dxa"/>
            <w:vAlign w:val="top"/>
          </w:tcPr>
          <w:p>
            <w:pPr>
              <w:spacing w:before="0" w:after="20"/>
            </w:pPr>
            <w:r>
              <w:rPr>
                <w:b/>
                <w:color w:val="566377"/>
                <w:sz w:val="17"/>
              </w:rPr>
              <w:t xml:space="preserve">Profile Strength</w:t>
            </w:r>
          </w:p>
          <w:p>
            <w:pPr>
              <w:spacing w:before="0" w:after="20"/>
            </w:pPr>
            <w:r>
              <w:rPr>
                <w:b/>
                <w:sz w:val="24"/>
              </w:rPr>
              <w:t xml:space="preserve">36/100</w:t>
            </w:r>
          </w:p>
          <w:p>
            <w:pPr>
              <w:spacing w:before="0" w:after="0"/>
            </w:pPr>
            <w:r>
              <w:rPr>
                <w:color w:val="566377"/>
                <w:sz w:val="17"/>
              </w:rPr>
              <w:t xml:space="preserve">Incomplete Profile</w:t>
            </w:r>
          </w:p>
        </w:tc>
        <w:tc>
          <w:tcPr>
            <w:tcW w:w="2409" w:type="dxa"/>
            <w:vAlign w:val="top"/>
          </w:tcPr>
          <w:p>
            <w:pPr>
              <w:spacing w:before="0" w:after="20"/>
            </w:pPr>
            <w:r>
              <w:rPr>
                <w:b/>
                <w:color w:val="566377"/>
                <w:sz w:val="17"/>
              </w:rPr>
              <w:t xml:space="preserve">Evidence</w:t>
            </w:r>
          </w:p>
          <w:p>
            <w:pPr>
              <w:spacing w:before="0" w:after="20"/>
            </w:pPr>
            <w:r>
              <w:rPr>
                <w:b/>
                <w:sz w:val="24"/>
              </w:rPr>
              <w:t xml:space="preserve">No evidence recorded yet</w:t>
            </w:r>
          </w:p>
          <w:p>
            <w:pPr>
              <w:spacing w:before="0" w:after="0"/>
            </w:pPr>
          </w:p>
        </w:tc>
        <w:tc>
          <w:tcPr>
            <w:tcW w:w="2409" w:type="dxa"/>
            <w:vAlign w:val="top"/>
          </w:tcPr>
          <w:p>
            <w:pPr>
              <w:spacing w:before="0" w:after="20"/>
            </w:pPr>
            <w:r>
              <w:rPr>
                <w:b/>
                <w:color w:val="566377"/>
                <w:sz w:val="17"/>
              </w:rPr>
              <w:t xml:space="preserve">Status</w:t>
            </w:r>
          </w:p>
          <w:p>
            <w:pPr>
              <w:spacing w:before="0" w:after="20"/>
            </w:pPr>
            <w:r>
              <w:rPr>
                <w:b/>
                <w:sz w:val="24"/>
              </w:rPr>
              <w:t xml:space="preserve">Unclaimed profile</w:t>
            </w:r>
          </w:p>
          <w:p>
            <w:pPr>
              <w:spacing w:before="0" w:after="0"/>
            </w:pPr>
          </w:p>
        </w:tc>
      </w:tr>
    </w:tbl>
    <w:p>
      <w:pPr>
        <w:spacing w:before="0" w:after="60"/>
      </w:pPr>
    </w:p>
    <w:p>
      <w:pPr>
        <w:spacing w:before="0" w:after="40"/>
      </w:pPr>
      <w:r>
        <w:rPr>
          <w:b/>
          <w:color w:val="262578"/>
          <w:sz w:val="17"/>
        </w:rPr>
        <w:t xml:space="preserve">Brands Trust Score  </w:t>
      </w:r>
      <w:r>
        <w:rPr>
          <w:i/>
          <w:color w:val="566377"/>
          <w:sz w:val="17"/>
        </w:rPr>
        <w:t xml:space="preserve">A reputation measure built from approved reviews and evidence under a published methodology. It is not a measure of how complete a profile is, and payment never changes it.</w:t>
      </w:r>
    </w:p>
    <w:p>
      <w:pPr>
        <w:spacing w:before="0" w:after="40"/>
      </w:pPr>
      <w:r>
        <w:rPr>
          <w:b/>
          <w:color w:val="262578"/>
          <w:sz w:val="17"/>
        </w:rPr>
        <w:t xml:space="preserve">Profile Strength  </w:t>
      </w:r>
      <w:r>
        <w:rPr>
          <w:i/>
          <w:color w:val="566377"/>
          <w:sz w:val="17"/>
        </w:rPr>
        <w:t xml:space="preserve">How complete and well maintained the profile is. It does not change the Trust Score.</w:t>
      </w:r>
    </w:p>
    <w:p>
      <w:pPr>
        <w:spacing w:before="0" w:after="40"/>
      </w:pPr>
      <w:r>
        <w:rPr>
          <w:b/>
          <w:color w:val="262578"/>
          <w:sz w:val="17"/>
        </w:rPr>
        <w:t xml:space="preserve">Evidence coverage  </w:t>
      </w:r>
      <w:r>
        <w:rPr>
          <w:i/>
          <w:color w:val="566377"/>
          <w:sz w:val="17"/>
        </w:rPr>
        <w:t xml:space="preserve">How much of this profile is backed by recorded sources, and how independent they are.</w:t>
      </w:r>
    </w:p>
    <w:p>
      <w:pPr>
        <w:spacing w:before="0" w:after="40"/>
      </w:pPr>
      <w:r>
        <w:rPr>
          <w:b/>
          <w:color w:val="262578"/>
          <w:sz w:val="17"/>
        </w:rPr>
        <w:t xml:space="preserve">Status  </w:t>
      </w:r>
      <w:r>
        <w:rPr>
          <w:i/>
          <w:color w:val="566377"/>
          <w:sz w:val="17"/>
        </w:rPr>
        <w:t xml:space="preserve">No company representative has claimed this profile yet. It is compiled from public sources by Brands.Ng.</w:t>
      </w:r>
    </w:p>
    <w:p>
      <w:pPr>
        <w:pStyle w:val="Heading1"/>
        <w:keepNext/>
      </w:pPr>
      <w:r>
        <w:t xml:space="preserve">Brand identity</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9638"/>
      </w:tblGrid>
      <w:tr>
        <w:trPr>
          <w:cantSplit/>
        </w:trPr>
        <w:tc>
          <w:tcPr>
            <w:tcW w:w="9638" w:type="dxa"/>
            <w:shd w:val="clear" w:color="auto" w:fill="FFFFFF"/>
            <w:vAlign w:val="center"/>
          </w:tcPr>
          <w:p>
            <w:pPr>
              <w:spacing w:before="60" w:after="60"/>
              <w:jc w:val="center"/>
            </w:pPr>
            <w:r>
              <w:drawing>
                <wp:inline distT="0" distB="0" distL="0" distR="0">
                  <wp:extent cx="864000" cy="864000"/>
                  <wp:docPr id="3" name="Picture 3" descr="Primary logo"/>
                  <wp:cNvGraphicFramePr>
                    <a:graphicFrameLocks noChangeAspect="1"/>
                  </wp:cNvGraphicFramePr>
                  <a:graphic>
                    <a:graphicData uri="http://schemas.openxmlformats.org/drawingml/2006/picture">
                      <pic:pic>
                        <pic:nvPicPr>
                          <pic:cNvPr id="3" name="image2.png" descr="Primary logo"/>
                          <pic:cNvPicPr/>
                        </pic:nvPicPr>
                        <pic:blipFill>
                          <a:blip r:embed="rId12"/>
                          <a:stretch>
                            <a:fillRect/>
                          </a:stretch>
                        </pic:blipFill>
                        <pic:spPr>
                          <a:xfrm>
                            <a:off x="0" y="0"/>
                            <a:ext cx="864000" cy="864000"/>
                          </a:xfrm>
                          <a:prstGeom prst="rect">
                            <a:avLst/>
                          </a:prstGeom>
                        </pic:spPr>
                      </pic:pic>
                    </a:graphicData>
                  </a:graphic>
                </wp:inline>
              </w:drawing>
            </w:r>
          </w:p>
          <w:p>
            <w:pPr>
              <w:spacing w:before="0" w:after="0"/>
              <w:jc w:val="center"/>
            </w:pPr>
            <w:r>
              <w:rPr>
                <w:color w:val="566377"/>
                <w:sz w:val="16"/>
              </w:rPr>
              <w:t xml:space="preserve">Primary logo</w:t>
            </w:r>
          </w:p>
        </w:tc>
      </w:tr>
    </w:tbl>
    <w:p>
      <w:pPr>
        <w:spacing w:before="0" w:after="60"/>
      </w:pPr>
    </w:p>
    <w:p>
      <w:pPr>
        <w:pStyle w:val="Heading1"/>
        <w:keepNext/>
      </w:pPr>
      <w:r>
        <w:t xml:space="preserve">Latest news about uLesson Education</w:t>
      </w:r>
    </w:p>
    <w:p>
      <w:pPr>
        <w:spacing w:before="0" w:after="50"/>
      </w:pPr>
      <w:r>
        <w:rPr>
          <w:color w:val="566377"/>
          <w:sz w:val="18"/>
        </w:rPr>
        <w:t xml:space="preserve">10 Aug 2026   </w:t>
      </w:r>
      <w:hyperlink r:id="rId13">
        <w:r>
          <w:rPr>
            <w:rStyle w:val="Hyperlink"/>
          </w:rPr>
          <w:t xml:space="preserve">Sim Shagaya: How the Konga Founder Built Nigeria’s E-commerce Pioneer and Reinvented Himself in Education</w:t>
        </w:r>
      </w:hyperlink>
    </w:p>
    <w:p>
      <w:pPr>
        <w:spacing w:before="0" w:after="50"/>
      </w:pPr>
      <w:r>
        <w:rPr>
          <w:color w:val="566377"/>
          <w:sz w:val="18"/>
        </w:rPr>
        <w:t xml:space="preserve">31 May 2026   </w:t>
      </w:r>
      <w:hyperlink r:id="rId14">
        <w:r>
          <w:rPr>
            <w:rStyle w:val="Hyperlink"/>
          </w:rPr>
          <w:t xml:space="preserve">uLesson Review 2026: Africa’s #1 Learning App for WAEC, JAMB &amp; Better Grades</w:t>
        </w:r>
      </w:hyperlink>
    </w:p>
    <w:p>
      <w:r>
        <w:rPr>
          <w:i/>
          <w:color w:val="566377"/>
          <w:sz w:val="17"/>
        </w:rPr>
        <w:t xml:space="preserve">Articles published on Brands.Ng that mention this company.</w:t>
      </w:r>
    </w:p>
    <w:p>
      <w:pPr>
        <w:pStyle w:val="Heading1"/>
        <w:keepNext/>
      </w:pPr>
      <w:r>
        <w:t xml:space="preserve">Media, contacts and social</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Lagos, Nigeria</w:t>
            </w:r>
          </w:p>
        </w:tc>
      </w:tr>
    </w:tbl>
    <w:p>
      <w:pPr>
        <w:spacing w:before="0" w:after="60"/>
      </w:pPr>
    </w:p>
    <w:p>
      <w:pPr>
        <w:pStyle w:val="Heading1"/>
        <w:keepNext/>
      </w:pPr>
      <w:r>
        <w:t xml:space="preserve">About this document</w:t>
      </w:r>
    </w:p>
    <w:p>
      <w:pPr>
        <w:shd w:val="clear" w:color="auto" w:fill="F7F9FC"/>
        <w:spacing w:before="0" w:after="40"/>
        <w:ind w:left="80"/>
      </w:pPr>
      <w:r>
        <w:rPr>
          <w:sz w:val="18"/>
        </w:rPr>
        <w:t xml:space="preserve">Generated on 22 October 2026 from the Brands.Ng Brand Passport.</w:t>
      </w:r>
    </w:p>
    <w:p>
      <w:pPr>
        <w:shd w:val="clear" w:color="auto" w:fill="F7F9FC"/>
        <w:spacing w:before="0" w:after="40"/>
        <w:ind w:left="80"/>
      </w:pPr>
      <w:r>
        <w:rPr>
          <w:sz w:val="18"/>
        </w:rPr>
        <w:t xml:space="preserve">It contains only published, sourced information and may have changed since. Check the linked sources before relying on a fact.</w:t>
      </w:r>
    </w:p>
    <w:p>
      <w:pPr>
        <w:shd w:val="clear" w:color="auto" w:fill="F7F9FC"/>
        <w:spacing w:before="0" w:after="40"/>
        <w:ind w:left="80"/>
      </w:pPr>
      <w:r>
        <w:rPr>
          <w:sz w:val="18"/>
        </w:rPr>
        <w:t xml:space="preserve">"Verified" means Brands.Ng has verified the company through its own review process. It is not a government certification and does not guarantee every statement.</w:t>
      </w:r>
    </w:p>
    <w:p>
      <w:pPr>
        <w:shd w:val="clear" w:color="auto" w:fill="F7F9FC"/>
        <w:spacing w:before="0" w:after="120"/>
        <w:ind w:left="80"/>
      </w:pPr>
      <w:r>
        <w:rPr>
          <w:b/>
          <w:color w:val="566377"/>
          <w:sz w:val="18"/>
        </w:rPr>
        <w:t xml:space="preserve">Live profile:  </w:t>
      </w:r>
      <w:hyperlink r:id="rId15">
        <w:r>
          <w:rPr>
            <w:rStyle w:val="Hyperlink"/>
          </w:rPr>
          <w:t xml:space="preserve">https://brands.ng/companies/ulesson-education/</w:t>
        </w:r>
      </w:hyperlink>
    </w:p>
    <w:p>
      <w:pPr>
        <w:keepNext/>
        <w:spacing w:before="60" w:after="40"/>
      </w:pPr>
      <w:r>
        <w:rPr>
          <w:b/>
          <w:caps/>
          <w:color w:val="566377"/>
          <w:sz w:val="16"/>
        </w:rPr>
        <w:t xml:space="preserve">How to read the source labels</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300"/>
        <w:gridCol w:w="6338"/>
      </w:tblGrid>
      <w:tr>
        <w:trPr>
          <w:cantSplit/>
        </w:trPr>
        <w:tc>
          <w:tcPr>
            <w:tcW w:w="3300" w:type="dxa"/>
            <w:vAlign w:val="top"/>
          </w:tcPr>
          <w:p>
            <w:pPr>
              <w:spacing w:before="0" w:after="0"/>
            </w:pPr>
            <w:r>
              <w:rPr>
                <w:b/>
                <w:color w:val="262578"/>
                <w:sz w:val="18"/>
              </w:rPr>
              <w:t xml:space="preserve">Company-confirmed</w:t>
            </w:r>
          </w:p>
        </w:tc>
        <w:tc>
          <w:tcPr>
            <w:tcW w:w="6338" w:type="dxa"/>
            <w:vAlign w:val="top"/>
          </w:tcPr>
          <w:p>
            <w:pPr>
              <w:spacing w:before="0" w:after="0"/>
            </w:pPr>
            <w:r>
              <w:rPr>
                <w:color w:val="566377"/>
                <w:sz w:val="18"/>
              </w:rPr>
              <w:t xml:space="preserve">Supplied by an authorised company representative and approved by Brands.Ng.</w:t>
            </w:r>
          </w:p>
        </w:tc>
      </w:tr>
      <w:tr>
        <w:trPr>
          <w:cantSplit/>
        </w:trPr>
        <w:tc>
          <w:tcPr>
            <w:tcW w:w="3300" w:type="dxa"/>
            <w:vAlign w:val="top"/>
          </w:tcPr>
          <w:p>
            <w:pPr>
              <w:spacing w:before="0" w:after="0"/>
            </w:pPr>
            <w:r>
              <w:rPr>
                <w:b/>
                <w:color w:val="262578"/>
                <w:sz w:val="18"/>
              </w:rPr>
              <w:t xml:space="preserve">Publicly documented</w:t>
            </w:r>
          </w:p>
        </w:tc>
        <w:tc>
          <w:tcPr>
            <w:tcW w:w="6338" w:type="dxa"/>
            <w:vAlign w:val="top"/>
          </w:tcPr>
          <w:p>
            <w:pPr>
              <w:spacing w:before="0" w:after="0"/>
            </w:pPr>
            <w:r>
              <w:rPr>
                <w:color w:val="566377"/>
                <w:sz w:val="18"/>
              </w:rPr>
              <w:t xml:space="preserve">Backed by a regulator or other primary record.</w:t>
            </w:r>
          </w:p>
        </w:tc>
      </w:tr>
      <w:tr>
        <w:trPr>
          <w:cantSplit/>
        </w:trPr>
        <w:tc>
          <w:tcPr>
            <w:tcW w:w="3300" w:type="dxa"/>
            <w:vAlign w:val="top"/>
          </w:tcPr>
          <w:p>
            <w:pPr>
              <w:spacing w:before="0" w:after="0"/>
            </w:pPr>
            <w:r>
              <w:rPr>
                <w:b/>
                <w:color w:val="262578"/>
                <w:sz w:val="18"/>
              </w:rPr>
              <w:t xml:space="preserve">Reported by independent source</w:t>
            </w:r>
          </w:p>
        </w:tc>
        <w:tc>
          <w:tcPr>
            <w:tcW w:w="6338" w:type="dxa"/>
            <w:vAlign w:val="top"/>
          </w:tcPr>
          <w:p>
            <w:pPr>
              <w:spacing w:before="0" w:after="0"/>
            </w:pPr>
            <w:r>
              <w:rPr>
                <w:color w:val="566377"/>
                <w:sz w:val="18"/>
              </w:rPr>
              <w:t xml:space="preserve">Reported by a publication that is not the company.</w:t>
            </w:r>
          </w:p>
        </w:tc>
      </w:tr>
      <w:tr>
        <w:trPr>
          <w:cantSplit/>
        </w:trPr>
        <w:tc>
          <w:tcPr>
            <w:tcW w:w="3300" w:type="dxa"/>
            <w:vAlign w:val="top"/>
          </w:tcPr>
          <w:p>
            <w:pPr>
              <w:spacing w:before="0" w:after="0"/>
            </w:pPr>
            <w:r>
              <w:rPr>
                <w:b/>
                <w:color w:val="262578"/>
                <w:sz w:val="18"/>
              </w:rPr>
              <w:t xml:space="preserve">Brands.Ng research</w:t>
            </w:r>
          </w:p>
        </w:tc>
        <w:tc>
          <w:tcPr>
            <w:tcW w:w="6338" w:type="dxa"/>
            <w:vAlign w:val="top"/>
          </w:tcPr>
          <w:p>
            <w:pPr>
              <w:spacing w:before="0" w:after="0"/>
            </w:pPr>
            <w:r>
              <w:rPr>
                <w:color w:val="566377"/>
                <w:sz w:val="18"/>
              </w:rPr>
              <w:t xml:space="preserve">Compiled by Brands.Ng editors; never counted as independent corroboration.</w:t>
            </w:r>
          </w:p>
        </w:tc>
      </w:tr>
      <w:tr>
        <w:trPr>
          <w:cantSplit/>
        </w:trPr>
        <w:tc>
          <w:tcPr>
            <w:tcW w:w="3300" w:type="dxa"/>
            <w:vAlign w:val="top"/>
          </w:tcPr>
          <w:p>
            <w:pPr>
              <w:spacing w:before="0" w:after="0"/>
            </w:pPr>
            <w:r>
              <w:rPr>
                <w:b/>
                <w:color w:val="262578"/>
                <w:sz w:val="18"/>
              </w:rPr>
              <w:t xml:space="preserve">Not publicly verified</w:t>
            </w:r>
          </w:p>
        </w:tc>
        <w:tc>
          <w:tcPr>
            <w:tcW w:w="6338" w:type="dxa"/>
            <w:vAlign w:val="top"/>
          </w:tcPr>
          <w:p>
            <w:pPr>
              <w:spacing w:before="0" w:after="0"/>
            </w:pPr>
            <w:r>
              <w:rPr>
                <w:color w:val="566377"/>
                <w:sz w:val="18"/>
              </w:rPr>
              <w:t xml:space="preserve">No source yet. It is left blank rather than guessed.</w:t>
            </w:r>
          </w:p>
        </w:tc>
      </w:tr>
    </w:tbl>
    <w:p>
      <w:pPr>
        <w:spacing w:before="0" w:after="60"/>
      </w:pP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E3E8F1"/>
      </w:pBdr>
      <w:tabs>
        <w:tab w:val="right" w:pos="9638"/>
      </w:tabs>
    </w:pPr>
    <w:r>
      <w:rPr>
        <w:color w:val="566377"/>
        <w:sz w:val="16"/>
      </w:rPr>
      <w:t xml:space="preserve">Brands.Ng Brand Passport  |  uLesson Education</w:t>
    </w:r>
    <w:r>
      <w:tab/>
    </w:r>
    <w:r>
      <w:rPr>
        <w:color w:val="566377"/>
        <w:sz w:val="16"/>
      </w:rPr>
      <w:t xml:space="preserve">Page </w:t>
    </w:r>
    <w:r>
      <w:rPr>
        <w:color w:val="566377"/>
        <w:sz w:val="16"/>
      </w:rPr>
      <w:fldChar w:fldCharType="begin"/>
    </w:r>
    <w:r>
      <w:rPr>
        <w:color w:val="566377"/>
        <w:sz w:val="16"/>
      </w:rPr>
      <w:instrText xml:space="preserve"> PAGE </w:instrText>
    </w:r>
    <w:r>
      <w:rPr>
        <w:color w:val="566377"/>
        <w:sz w:val="16"/>
      </w:rPr>
      <w:fldChar w:fldCharType="separate"/>
    </w:r>
    <w:r>
      <w:rPr>
        <w:color w:val="566377"/>
        <w:sz w:val="16"/>
      </w:rPr>
      <w:t>1</w:t>
    </w:r>
    <w:r>
      <w:rPr>
        <w:color w:val="566377"/>
        <w:sz w:val="16"/>
      </w:rPr>
      <w:fldChar w:fldCharType="end"/>
    </w:r>
    <w:r>
      <w:rPr>
        <w:color w:val="566377"/>
        <w:sz w:val="16"/>
      </w:rPr>
      <w:t xml:space="preserve"> of </w:t>
    </w:r>
    <w:r>
      <w:rPr>
        <w:color w:val="566377"/>
        <w:sz w:val="16"/>
      </w:rPr>
      <w:fldChar w:fldCharType="begin"/>
    </w:r>
    <w:r>
      <w:rPr>
        <w:color w:val="566377"/>
        <w:sz w:val="16"/>
      </w:rPr>
      <w:instrText xml:space="preserve"> NUMPAGES </w:instrText>
    </w:r>
    <w:r>
      <w:rPr>
        <w:color w:val="566377"/>
        <w:sz w:val="16"/>
      </w:rPr>
      <w:fldChar w:fldCharType="separate"/>
    </w:r>
    <w:r>
      <w:rPr>
        <w:color w:val="566377"/>
        <w:sz w:val="16"/>
      </w:rPr>
      <w:t>1</w:t>
    </w:r>
    <w:r>
      <w:rPr>
        <w:color w:val="566377"/>
        <w:sz w:val="16"/>
      </w:rPr>
      <w:fldChar w:fldCharType="end"/>
    </w:r>
  </w:p>
</w:ftr>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eastAsia="Calibri" w:cs="Calibri"/>
        <w:color w:val="0F172A"/>
        <w:sz w:val="21"/>
        <w:szCs w:val="21"/>
        <w:lang w:val="en-GB"/>
      </w:rPr>
    </w:rPrDefault>
    <w:pPrDefault>
      <w:pPr>
        <w:spacing w:after="80" w:line="264" w:lineRule="auto"/>
      </w:pPr>
    </w:pPrDefault>
  </w:docDefaults>
  <w:style w:type="paragraph" w:default="1" w:styleId="Normal">
    <w:name w:val="Normal"/>
    <w:qFormat/>
  </w:style>
  <w:style w:type="paragraph" w:styleId="Heading1">
    <w:name w:val="heading 1"/>
    <w:basedOn w:val="Normal"/>
    <w:next w:val="Normal"/>
    <w:qFormat/>
    <w:pPr>
      <w:keepNext/>
      <w:pBdr>
        <w:bottom w:val="single" w:sz="6" w:space="3" w:color="262578"/>
      </w:pBdr>
      <w:spacing w:before="320" w:after="140"/>
      <w:outlineLvl w:val="0"/>
    </w:pPr>
    <w:rPr>
      <w:b/>
      <w:color w:val="262578"/>
      <w:sz w:val="28"/>
      <w:szCs w:val="28"/>
    </w:rPr>
  </w:style>
  <w:style w:type="character" w:styleId="Hyperlink">
    <w:name w:val="Hyperlink"/>
    <w:rPr>
      <w:color w:val="1D4ED8"/>
      <w:u w:val="single"/>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3" Type="http://schemas.openxmlformats.org/officeDocument/2006/relationships/footer" Target="footer1.xml"/><Relationship Id="rId13" Type="http://schemas.openxmlformats.org/officeDocument/2006/relationships/hyperlink" Target="https://brands.ng/sim-shagaya-how-the-konga-founder-built-nigerias-e-commerce-pioneer-and-reinvented-himself-in-education/" TargetMode="External"/><Relationship Id="rId14" Type="http://schemas.openxmlformats.org/officeDocument/2006/relationships/hyperlink" Target="https://brands.ng/ulesson-review-2026-africas-1-learning-app-for-waec-jamb-better-grades/" TargetMode="External"/><Relationship Id="rId15" Type="http://schemas.openxmlformats.org/officeDocument/2006/relationships/hyperlink" Target="https://brands.ng/companies/ulesson-education/" TargetMode="External"/><Relationship Id="rId11" Type="http://schemas.openxmlformats.org/officeDocument/2006/relationships/image" Target="media/image1.png"/><Relationship Id="rId12" Type="http://schemas.openxmlformats.org/officeDocument/2006/relationships/image" Target="media/image2.png"/></Relationships>
</file>

<file path=docProps/app.xml><?xml version="1.0" encoding="utf-8"?>
<Properties xmlns="http://schemas.openxmlformats.org/officeDocument/2006/extended-properties">
  <Application>Brands.Ng Brand Passport</Application>
</Properties>
</file>

<file path=docProps/core.xml><?xml version="1.0" encoding="utf-8"?>
<cp:coreProperties xmlns:cp="http://schemas.openxmlformats.org/package/2006/metadata/core-properties" xmlns:dc="http://purl.org/dc/elements/1.1/" xmlns:dcterms="http://purl.org/dc/terms/" xmlns:xsi="http://www.w3.org/2001/XMLSchema-instance">
  <dc:title>uLesson Education - Brand Profile</dc:title>
  <dc:subject>Brand profile of uLesson Education</dc:subject>
  <dc:creator>Brands.Ng</dc:creator>
  <dcterms:created xsi:type="dcterms:W3CDTF">2026-10-22T22:36:47Z</dcterms:created>
</cp:coreProperties>
</file>