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tbl>
      <w:tblPr>
        <w:tblW w:w="9638" w:type="dxa"/>
        <w:tblBorders>
          <w:top w:val="nil"/>
          <w:left w:val="nil"/>
          <w:bottom w:val="nil"/>
          <w:right w:val="nil"/>
          <w:insideH w:val="nil"/>
          <w:insideV w:val="nil"/>
        </w:tblBorders>
        <w:tblLayout w:type="fixed"/>
        <w:tblCellMar>
          <w:top w:w="70" w:type="dxa"/>
          <w:left w:w="110" w:type="dxa"/>
          <w:bottom w:w="70" w:type="dxa"/>
          <w:right w:w="110" w:type="dxa"/>
        </w:tblCellMar>
      </w:tblPr>
      <w:tblGrid>
        <w:gridCol w:w="200"/>
        <w:gridCol w:w="2200"/>
        <w:gridCol w:w="7238"/>
      </w:tblGrid>
      <w:tr>
        <w:tc>
          <w:tcPr>
            <w:tcW w:w="200" w:type="dxa"/>
            <w:shd w:val="clear" w:color="auto" w:fill="262578"/>
            <w:vAlign w:val="center"/>
          </w:tcPr>
          <w:p/>
        </w:tc>
        <w:tc>
          <w:tcPr>
            <w:tcW w:w="2200" w:type="dxa"/>
            <w:shd w:val="clear" w:color="auto" w:fill="FFFFFF"/>
            <w:vAlign w:val="center"/>
          </w:tcPr>
          <w:p>
            <w:pPr>
              <w:spacing w:before="120" w:after="120"/>
              <w:jc w:val="center"/>
            </w:pPr>
            <w:r>
              <w:drawing>
                <wp:inline distT="0" distB="0" distL="0" distR="0">
                  <wp:extent cx="1008000" cy="1008000"/>
                  <wp:docPr id="2" name="Picture 2" descr="Mainstreet Microfinance Bank logo"/>
                  <wp:cNvGraphicFramePr>
                    <a:graphicFrameLocks noChangeAspect="1"/>
                  </wp:cNvGraphicFramePr>
                  <a:graphic>
                    <a:graphicData uri="http://schemas.openxmlformats.org/drawingml/2006/picture">
                      <pic:pic>
                        <pic:nvPicPr>
                          <pic:cNvPr id="2" name="image1.png" descr="Mainstreet Microfinance Bank logo"/>
                          <pic:cNvPicPr/>
                        </pic:nvPicPr>
                        <pic:blipFill>
                          <a:blip r:embed="rId11"/>
                          <a:stretch>
                            <a:fillRect/>
                          </a:stretch>
                        </pic:blipFill>
                        <pic:spPr>
                          <a:xfrm>
                            <a:off x="0" y="0"/>
                            <a:ext cx="1008000" cy="1008000"/>
                          </a:xfrm>
                          <a:prstGeom prst="rect">
                            <a:avLst/>
                          </a:prstGeom>
                        </pic:spPr>
                      </pic:pic>
                    </a:graphicData>
                  </a:graphic>
                </wp:inline>
              </w:drawing>
            </w:r>
          </w:p>
        </w:tc>
        <w:tc>
          <w:tcPr>
            <w:tcW w:w="7238" w:type="dxa"/>
            <w:shd w:val="clear" w:color="auto" w:fill="262578"/>
            <w:vAlign w:val="center"/>
          </w:tcPr>
          <w:p>
            <w:pPr>
              <w:spacing w:before="0" w:after="40"/>
            </w:pPr>
            <w:r>
              <w:rPr>
                <w:b/>
                <w:color w:val="FFFFFF"/>
                <w:sz w:val="48"/>
              </w:rPr>
              <w:t xml:space="preserve">Mainstreet Microfinance Bank</w:t>
            </w:r>
          </w:p>
          <w:p>
            <w:pPr>
              <w:spacing w:before="80" w:after="0"/>
            </w:pPr>
            <w:r>
              <w:rPr>
                <w:b/>
                <w:color w:val="FFFFFF"/>
                <w:sz w:val="18"/>
              </w:rPr>
              <w:t xml:space="preserve">Unclaimed profile   |   Banking, Finance, Investments   |   Nigeria</w:t>
            </w:r>
          </w:p>
        </w:tc>
      </w:tr>
    </w:tbl>
    <w:p>
      <w:pPr>
        <w:spacing w:before="0" w:after="60"/>
      </w:pPr>
    </w:p>
    <w:tbl>
      <w:tblPr>
        <w:tblW w:w="9636"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9"/>
        <w:gridCol w:w="2409"/>
        <w:gridCol w:w="2409"/>
        <w:gridCol w:w="2409"/>
      </w:tblGrid>
      <w:tr>
        <w:trPr>
          <w:cantSplit/>
        </w:trPr>
        <w:tc>
          <w:tcPr>
            <w:tcW w:w="2409" w:type="dxa"/>
            <w:vAlign w:val="top"/>
          </w:tcPr>
          <w:p>
            <w:pPr>
              <w:spacing w:before="0" w:after="20"/>
            </w:pPr>
            <w:r>
              <w:rPr>
                <w:b/>
                <w:sz w:val="30"/>
              </w:rPr>
              <w:t xml:space="preserve">Banking, Finance, Investments</w:t>
            </w:r>
          </w:p>
          <w:p>
            <w:pPr>
              <w:spacing w:before="0" w:after="0"/>
            </w:pPr>
            <w:r>
              <w:rPr>
                <w:color w:val="566377"/>
                <w:sz w:val="17"/>
              </w:rPr>
              <w:t xml:space="preserve">Industry</w:t>
            </w:r>
          </w:p>
        </w:tc>
        <w:tc>
          <w:tcPr>
            <w:tcW w:w="2409" w:type="dxa"/>
            <w:vAlign w:val="top"/>
          </w:tcPr>
          <w:p>
            <w:pPr>
              <w:spacing w:before="0" w:after="20"/>
            </w:pPr>
            <w:r>
              <w:rPr>
                <w:b/>
                <w:sz w:val="30"/>
              </w:rPr>
              <w:t xml:space="preserve">Nigeria</w:t>
            </w:r>
          </w:p>
          <w:p>
            <w:pPr>
              <w:spacing w:before="0" w:after="0"/>
            </w:pPr>
            <w:r>
              <w:rPr>
                <w:color w:val="566377"/>
                <w:sz w:val="17"/>
              </w:rPr>
              <w:t xml:space="preserve">Country</w:t>
            </w:r>
          </w:p>
        </w:tc>
        <w:tc>
          <w:tcPr>
            <w:tcW w:w="2409" w:type="dxa"/>
            <w:vAlign w:val="top"/>
          </w:tcPr>
          <w:p>
            <w:pPr>
              <w:spacing w:before="0" w:after="20"/>
            </w:pPr>
            <w:r>
              <w:rPr>
                <w:b/>
                <w:sz w:val="30"/>
              </w:rPr>
              <w:t xml:space="preserve">Lagos, Nigeria</w:t>
            </w:r>
          </w:p>
          <w:p>
            <w:pPr>
              <w:spacing w:before="0" w:after="0"/>
            </w:pPr>
            <w:r>
              <w:rPr>
                <w:color w:val="566377"/>
                <w:sz w:val="17"/>
              </w:rPr>
              <w:t xml:space="preserve">Head office</w:t>
            </w:r>
          </w:p>
        </w:tc>
        <w:tc>
          <w:tcPr>
            <w:tcW w:w="2409" w:type="dxa"/>
            <w:vAlign w:val="top"/>
          </w:tcPr>
          <w:p>
            <w:pPr>
              <w:spacing w:before="0" w:after="20"/>
            </w:pPr>
            <w:r>
              <w:rPr>
                <w:b/>
                <w:sz w:val="30"/>
              </w:rPr>
              <w:t xml:space="preserve">2008</w:t>
            </w:r>
          </w:p>
          <w:p>
            <w:pPr>
              <w:spacing w:before="0" w:after="0"/>
            </w:pPr>
            <w:r>
              <w:rPr>
                <w:color w:val="566377"/>
                <w:sz w:val="17"/>
              </w:rPr>
              <w:t xml:space="preserve">Founded</w:t>
            </w:r>
          </w:p>
        </w:tc>
      </w:tr>
    </w:tbl>
    <w:p>
      <w:pPr>
        <w:spacing w:before="0" w:after="60"/>
      </w:pPr>
    </w:p>
    <w:p>
      <w:pPr>
        <w:pStyle w:val="Heading1"/>
        <w:keepNext/>
      </w:pPr>
      <w:r>
        <w:t xml:space="preserve">Key information</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0"/>
        <w:gridCol w:w="7238"/>
      </w:tblGrid>
      <w:tr>
        <w:trPr>
          <w:cantSplit/>
        </w:trPr>
        <w:tc>
          <w:tcPr>
            <w:tcW w:w="2400" w:type="dxa"/>
            <w:shd w:val="clear" w:color="auto" w:fill="F7F9FC"/>
            <w:vAlign w:val="top"/>
          </w:tcPr>
          <w:p>
            <w:pPr>
              <w:spacing w:before="0" w:after="0"/>
            </w:pPr>
            <w:r>
              <w:rPr>
                <w:color w:val="566377"/>
                <w:sz w:val="19"/>
              </w:rPr>
              <w:t xml:space="preserve">Industry</w:t>
            </w:r>
          </w:p>
        </w:tc>
        <w:tc>
          <w:tcPr>
            <w:tcW w:w="7238" w:type="dxa"/>
            <w:vAlign w:val="top"/>
          </w:tcPr>
          <w:p>
            <w:pPr>
              <w:spacing w:before="0" w:after="0"/>
            </w:pPr>
            <w:r>
              <w:rPr>
                <w:b/>
              </w:rPr>
              <w:t xml:space="preserve">Banking, Finance, Investments</w:t>
            </w:r>
          </w:p>
        </w:tc>
      </w:tr>
      <w:tr>
        <w:trPr>
          <w:cantSplit/>
        </w:trPr>
        <w:tc>
          <w:tcPr>
            <w:tcW w:w="2400" w:type="dxa"/>
            <w:shd w:val="clear" w:color="auto" w:fill="F7F9FC"/>
            <w:vAlign w:val="top"/>
          </w:tcPr>
          <w:p>
            <w:pPr>
              <w:spacing w:before="0" w:after="0"/>
            </w:pPr>
            <w:r>
              <w:rPr>
                <w:color w:val="566377"/>
                <w:sz w:val="19"/>
              </w:rPr>
              <w:t xml:space="preserve">Country</w:t>
            </w:r>
          </w:p>
        </w:tc>
        <w:tc>
          <w:tcPr>
            <w:tcW w:w="7238" w:type="dxa"/>
            <w:vAlign w:val="top"/>
          </w:tcPr>
          <w:p>
            <w:pPr>
              <w:spacing w:before="0" w:after="0"/>
            </w:pPr>
            <w:r>
              <w:rPr>
                <w:b/>
              </w:rPr>
              <w:t xml:space="preserve">Nigeria</w:t>
            </w:r>
          </w:p>
        </w:tc>
      </w:tr>
      <w:tr>
        <w:trPr>
          <w:cantSplit/>
        </w:trPr>
        <w:tc>
          <w:tcPr>
            <w:tcW w:w="2400" w:type="dxa"/>
            <w:shd w:val="clear" w:color="auto" w:fill="F7F9FC"/>
            <w:vAlign w:val="top"/>
          </w:tcPr>
          <w:p>
            <w:pPr>
              <w:spacing w:before="0" w:after="0"/>
            </w:pPr>
            <w:r>
              <w:rPr>
                <w:color w:val="566377"/>
                <w:sz w:val="19"/>
              </w:rPr>
              <w:t xml:space="preserve">Founded</w:t>
            </w:r>
          </w:p>
        </w:tc>
        <w:tc>
          <w:tcPr>
            <w:tcW w:w="7238" w:type="dxa"/>
            <w:vAlign w:val="top"/>
          </w:tcPr>
          <w:p>
            <w:pPr>
              <w:spacing w:before="0" w:after="0"/>
            </w:pPr>
            <w:r>
              <w:rPr>
                <w:b/>
              </w:rPr>
              <w:t xml:space="preserve">2008</w:t>
            </w:r>
          </w:p>
        </w:tc>
      </w:tr>
      <w:tr>
        <w:trPr>
          <w:cantSplit/>
        </w:trPr>
        <w:tc>
          <w:tcPr>
            <w:tcW w:w="2400" w:type="dxa"/>
            <w:shd w:val="clear" w:color="auto" w:fill="F7F9FC"/>
            <w:vAlign w:val="top"/>
          </w:tcPr>
          <w:p>
            <w:pPr>
              <w:spacing w:before="0" w:after="0"/>
            </w:pPr>
            <w:r>
              <w:rPr>
                <w:color w:val="566377"/>
                <w:sz w:val="19"/>
              </w:rPr>
              <w:t xml:space="preserve">Head office</w:t>
            </w:r>
          </w:p>
        </w:tc>
        <w:tc>
          <w:tcPr>
            <w:tcW w:w="7238" w:type="dxa"/>
            <w:vAlign w:val="top"/>
          </w:tcPr>
          <w:p>
            <w:pPr>
              <w:spacing w:before="0" w:after="0"/>
            </w:pPr>
            <w:r>
              <w:rPr>
                <w:b/>
              </w:rPr>
              <w:t xml:space="preserve">Lagos, Nigeria</w:t>
            </w:r>
          </w:p>
        </w:tc>
      </w:tr>
      <w:tr>
        <w:trPr>
          <w:cantSplit/>
        </w:trPr>
        <w:tc>
          <w:tcPr>
            <w:tcW w:w="2400" w:type="dxa"/>
            <w:shd w:val="clear" w:color="auto" w:fill="F7F9FC"/>
            <w:vAlign w:val="top"/>
          </w:tcPr>
          <w:p>
            <w:pPr>
              <w:spacing w:before="0" w:after="0"/>
            </w:pPr>
            <w:r>
              <w:rPr>
                <w:color w:val="566377"/>
                <w:sz w:val="19"/>
              </w:rPr>
              <w:t xml:space="preserve">Website</w:t>
            </w:r>
          </w:p>
        </w:tc>
        <w:tc>
          <w:tcPr>
            <w:tcW w:w="7238" w:type="dxa"/>
            <w:vAlign w:val="top"/>
          </w:tcPr>
          <w:p>
            <w:pPr>
              <w:spacing w:before="0" w:after="0"/>
            </w:pPr>
            <w:hyperlink r:id="rId12">
              <w:r>
                <w:rPr>
                  <w:rStyle w:val="Hyperlink"/>
                </w:rPr>
                <w:t xml:space="preserve">mainstreetmfb.com</w:t>
              </w:r>
            </w:hyperlink>
          </w:p>
        </w:tc>
      </w:tr>
      <w:tr>
        <w:trPr>
          <w:cantSplit/>
        </w:trPr>
        <w:tc>
          <w:tcPr>
            <w:tcW w:w="2400" w:type="dxa"/>
            <w:shd w:val="clear" w:color="auto" w:fill="F7F9FC"/>
            <w:vAlign w:val="top"/>
          </w:tcPr>
          <w:p>
            <w:pPr>
              <w:spacing w:before="0" w:after="0"/>
            </w:pPr>
            <w:r>
              <w:rPr>
                <w:color w:val="566377"/>
                <w:sz w:val="19"/>
              </w:rPr>
              <w:t xml:space="preserve">Employees</w:t>
            </w:r>
          </w:p>
        </w:tc>
        <w:tc>
          <w:tcPr>
            <w:tcW w:w="7238" w:type="dxa"/>
            <w:vAlign w:val="top"/>
          </w:tcPr>
          <w:p>
            <w:pPr>
              <w:spacing w:before="0" w:after="0"/>
            </w:pPr>
            <w:r>
              <w:rPr>
                <w:b/>
              </w:rPr>
              <w:t xml:space="preserve">200+</w:t>
            </w:r>
          </w:p>
        </w:tc>
      </w:tr>
    </w:tbl>
    <w:p>
      <w:pPr>
        <w:spacing w:before="0" w:after="60"/>
      </w:pPr>
    </w:p>
    <w:p>
      <w:pPr>
        <w:pStyle w:val="Heading1"/>
        <w:keepNext/>
      </w:pPr>
      <w:r>
        <w:t xml:space="preserve">About</w:t>
      </w:r>
    </w:p>
    <w:p>
      <w:pPr>
        <w:spacing w:before="0" w:after="100"/>
      </w:pPr>
      <w:r>
        <w:t xml:space="preserve">Mainstreet Microfinance Bank Limited is a Nigerian microfinance institution that provides savings, loans, and other financial services to individuals, low-income earners, and micro, small, and medium-sized businesses. The bank focuses particularly on customers in the informal sector, including small business owners, traders, artisans, salary earners, and entrepreneurs who may have limited access to conventional commercial-bank financing.</w:t>
      </w:r>
    </w:p>
    <w:p>
      <w:pPr>
        <w:spacing w:before="0" w:after="100"/>
      </w:pPr>
      <w:r>
        <w:t xml:space="preserve">The institution was incorporated in November 2008 as Afribank Microfinance Bank Limited and later adopted the Mainstreet Microfinance Bank name. Although some profiles cite 2013 as its founding year, the bank’s official history and corporate materials identify 2008 as the year of incorporation. It operates as a private limited-liability company licensed by the Central Bank of Nigeria to provide microfinance-banking services.</w:t>
      </w:r>
    </w:p>
    <w:p>
      <w:pPr>
        <w:spacing w:before="0" w:after="100"/>
      </w:pPr>
      <w:r>
        <w:t xml:space="preserve">Mainstreet’s core business is the provision of small and medium-sized loans for personal needs, business working capital, asset acquisition, education, and business expansion. Its loan products include SME loans, payday loans, education loans, and other facilities designed for individuals and entrepreneurs. The bank assesses loan applications based on factors such as the borrower’s income, business activity, repayment capacity, inventory, and location.</w:t>
      </w:r>
    </w:p>
    <w:p>
      <w:pPr>
        <w:spacing w:before="0" w:after="100"/>
      </w:pPr>
      <w:r>
        <w:t xml:space="preserve">The institution also mobilises deposits through savings and current accounts. Customers can use these accounts to build savings, conduct transactions, and establish the financial history often required to access credit. In line with the Central Bank of Nigeria’s microfinance-banking framework, licensed microfinance banks may accept deposits from individuals, groups, and organisations while providing credit and other approved financial services.</w:t>
      </w:r>
    </w:p>
    <w:p>
      <w:pPr>
        <w:shd w:val="clear" w:color="auto" w:fill="E5E5EF"/>
        <w:spacing w:before="80" w:after="120"/>
        <w:ind w:left="120"/>
      </w:pPr>
      <w:r>
        <w:rPr>
          <w:b/>
        </w:rPr>
        <w:t xml:space="preserve">To empower Nigerian micro-entrepreneurs through accessible and responsible financial services.</w:t>
      </w:r>
      <w:r>
        <w:rPr>
          <w:i/>
          <w:color w:val="566377"/>
          <w:sz w:val="17"/>
        </w:rPr>
        <w:t xml:space="preserve">   Mission statement</w:t>
      </w:r>
    </w:p>
    <w:p>
      <w:pPr>
        <w:pStyle w:val="Heading1"/>
        <w:keepNext/>
      </w:pPr>
      <w:r>
        <w:t xml:space="preserve">Trust and reputation measures</w:t>
      </w:r>
    </w:p>
    <w:tbl>
      <w:tblPr>
        <w:tblW w:w="9636"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9"/>
        <w:gridCol w:w="2409"/>
        <w:gridCol w:w="2409"/>
        <w:gridCol w:w="2409"/>
      </w:tblGrid>
      <w:tr>
        <w:trPr>
          <w:cantSplit/>
        </w:trPr>
        <w:tc>
          <w:tcPr>
            <w:tcW w:w="2409" w:type="dxa"/>
            <w:vAlign w:val="top"/>
          </w:tcPr>
          <w:p>
            <w:pPr>
              <w:spacing w:before="0" w:after="20"/>
            </w:pPr>
            <w:r>
              <w:rPr>
                <w:b/>
                <w:color w:val="566377"/>
                <w:sz w:val="17"/>
              </w:rPr>
              <w:t xml:space="preserve">Trust Score</w:t>
            </w:r>
          </w:p>
          <w:p>
            <w:pPr>
              <w:spacing w:before="0" w:after="20"/>
            </w:pPr>
            <w:r>
              <w:rPr>
                <w:b/>
                <w:sz w:val="24"/>
              </w:rPr>
              <w:t xml:space="preserve">Not yet rated</w:t>
            </w:r>
          </w:p>
          <w:p>
            <w:pPr>
              <w:spacing w:before="0" w:after="0"/>
            </w:pPr>
            <w:r>
              <w:rPr>
                <w:color w:val="566377"/>
                <w:sz w:val="17"/>
              </w:rPr>
              <w:t xml:space="preserve">Needs reviews and evidence</w:t>
            </w:r>
          </w:p>
        </w:tc>
        <w:tc>
          <w:tcPr>
            <w:tcW w:w="2409" w:type="dxa"/>
            <w:vAlign w:val="top"/>
          </w:tcPr>
          <w:p>
            <w:pPr>
              <w:spacing w:before="0" w:after="20"/>
            </w:pPr>
            <w:r>
              <w:rPr>
                <w:b/>
                <w:color w:val="566377"/>
                <w:sz w:val="17"/>
              </w:rPr>
              <w:t xml:space="preserve">Profile Strength</w:t>
            </w:r>
          </w:p>
          <w:p>
            <w:pPr>
              <w:spacing w:before="0" w:after="20"/>
            </w:pPr>
            <w:r>
              <w:rPr>
                <w:b/>
                <w:sz w:val="24"/>
              </w:rPr>
              <w:t xml:space="preserve">39/100</w:t>
            </w:r>
          </w:p>
          <w:p>
            <w:pPr>
              <w:spacing w:before="0" w:after="0"/>
            </w:pPr>
            <w:r>
              <w:rPr>
                <w:color w:val="566377"/>
                <w:sz w:val="17"/>
              </w:rPr>
              <w:t xml:space="preserve">Incomplete Profile</w:t>
            </w:r>
          </w:p>
        </w:tc>
        <w:tc>
          <w:tcPr>
            <w:tcW w:w="2409" w:type="dxa"/>
            <w:vAlign w:val="top"/>
          </w:tcPr>
          <w:p>
            <w:pPr>
              <w:spacing w:before="0" w:after="20"/>
            </w:pPr>
            <w:r>
              <w:rPr>
                <w:b/>
                <w:color w:val="566377"/>
                <w:sz w:val="17"/>
              </w:rPr>
              <w:t xml:space="preserve">Evidence</w:t>
            </w:r>
          </w:p>
          <w:p>
            <w:pPr>
              <w:spacing w:before="0" w:after="20"/>
            </w:pPr>
            <w:r>
              <w:rPr>
                <w:b/>
                <w:sz w:val="24"/>
              </w:rPr>
              <w:t xml:space="preserve">No evidence recorded yet</w:t>
            </w:r>
          </w:p>
          <w:p>
            <w:pPr>
              <w:spacing w:before="0" w:after="0"/>
            </w:pPr>
          </w:p>
        </w:tc>
        <w:tc>
          <w:tcPr>
            <w:tcW w:w="2409" w:type="dxa"/>
            <w:vAlign w:val="top"/>
          </w:tcPr>
          <w:p>
            <w:pPr>
              <w:spacing w:before="0" w:after="20"/>
            </w:pPr>
            <w:r>
              <w:rPr>
                <w:b/>
                <w:color w:val="566377"/>
                <w:sz w:val="17"/>
              </w:rPr>
              <w:t xml:space="preserve">Status</w:t>
            </w:r>
          </w:p>
          <w:p>
            <w:pPr>
              <w:spacing w:before="0" w:after="20"/>
            </w:pPr>
            <w:r>
              <w:rPr>
                <w:b/>
                <w:sz w:val="24"/>
              </w:rPr>
              <w:t xml:space="preserve">Unclaimed profile</w:t>
            </w:r>
          </w:p>
          <w:p>
            <w:pPr>
              <w:spacing w:before="0" w:after="0"/>
            </w:pPr>
          </w:p>
        </w:tc>
      </w:tr>
    </w:tbl>
    <w:p>
      <w:pPr>
        <w:spacing w:before="0" w:after="60"/>
      </w:pPr>
    </w:p>
    <w:p>
      <w:pPr>
        <w:spacing w:before="0" w:after="40"/>
      </w:pPr>
      <w:r>
        <w:rPr>
          <w:b/>
          <w:color w:val="262578"/>
          <w:sz w:val="17"/>
        </w:rPr>
        <w:t xml:space="preserve">Brands Trust Score  </w:t>
      </w:r>
      <w:r>
        <w:rPr>
          <w:i/>
          <w:color w:val="566377"/>
          <w:sz w:val="17"/>
        </w:rPr>
        <w:t xml:space="preserve">A reputation measure built from approved reviews and evidence under a published methodology. It is not a measure of how complete a profile is, and payment never changes it.</w:t>
      </w:r>
    </w:p>
    <w:p>
      <w:pPr>
        <w:spacing w:before="0" w:after="40"/>
      </w:pPr>
      <w:r>
        <w:rPr>
          <w:b/>
          <w:color w:val="262578"/>
          <w:sz w:val="17"/>
        </w:rPr>
        <w:t xml:space="preserve">Profile Strength  </w:t>
      </w:r>
      <w:r>
        <w:rPr>
          <w:i/>
          <w:color w:val="566377"/>
          <w:sz w:val="17"/>
        </w:rPr>
        <w:t xml:space="preserve">How complete and well maintained the profile is. It does not change the Trust Score.</w:t>
      </w:r>
    </w:p>
    <w:p>
      <w:pPr>
        <w:spacing w:before="0" w:after="40"/>
      </w:pPr>
      <w:r>
        <w:rPr>
          <w:b/>
          <w:color w:val="262578"/>
          <w:sz w:val="17"/>
        </w:rPr>
        <w:t xml:space="preserve">Evidence coverage  </w:t>
      </w:r>
      <w:r>
        <w:rPr>
          <w:i/>
          <w:color w:val="566377"/>
          <w:sz w:val="17"/>
        </w:rPr>
        <w:t xml:space="preserve">How much of this profile is backed by recorded sources, and how independent they are.</w:t>
      </w:r>
    </w:p>
    <w:p>
      <w:pPr>
        <w:spacing w:before="0" w:after="40"/>
      </w:pPr>
      <w:r>
        <w:rPr>
          <w:b/>
          <w:color w:val="262578"/>
          <w:sz w:val="17"/>
        </w:rPr>
        <w:t xml:space="preserve">Status  </w:t>
      </w:r>
      <w:r>
        <w:rPr>
          <w:i/>
          <w:color w:val="566377"/>
          <w:sz w:val="17"/>
        </w:rPr>
        <w:t xml:space="preserve">No company representative has claimed this profile yet. It is compiled from public sources by Brands.Ng.</w:t>
      </w:r>
    </w:p>
    <w:p>
      <w:pPr>
        <w:pStyle w:val="Heading1"/>
        <w:keepNext/>
      </w:pPr>
      <w:r>
        <w:t xml:space="preserve">Brand identity</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9638"/>
      </w:tblGrid>
      <w:tr>
        <w:trPr>
          <w:cantSplit/>
        </w:trPr>
        <w:tc>
          <w:tcPr>
            <w:tcW w:w="9638" w:type="dxa"/>
            <w:shd w:val="clear" w:color="auto" w:fill="FFFFFF"/>
            <w:vAlign w:val="center"/>
          </w:tcPr>
          <w:p>
            <w:pPr>
              <w:spacing w:before="60" w:after="60"/>
              <w:jc w:val="center"/>
            </w:pPr>
            <w:r>
              <w:drawing>
                <wp:inline distT="0" distB="0" distL="0" distR="0">
                  <wp:extent cx="864000" cy="864000"/>
                  <wp:docPr id="3" name="Picture 3" descr="Primary logo"/>
                  <wp:cNvGraphicFramePr>
                    <a:graphicFrameLocks noChangeAspect="1"/>
                  </wp:cNvGraphicFramePr>
                  <a:graphic>
                    <a:graphicData uri="http://schemas.openxmlformats.org/drawingml/2006/picture">
                      <pic:pic>
                        <pic:nvPicPr>
                          <pic:cNvPr id="3" name="image2.png" descr="Primary logo"/>
                          <pic:cNvPicPr/>
                        </pic:nvPicPr>
                        <pic:blipFill>
                          <a:blip r:embed="rId13"/>
                          <a:stretch>
                            <a:fillRect/>
                          </a:stretch>
                        </pic:blipFill>
                        <pic:spPr>
                          <a:xfrm>
                            <a:off x="0" y="0"/>
                            <a:ext cx="864000" cy="864000"/>
                          </a:xfrm>
                          <a:prstGeom prst="rect">
                            <a:avLst/>
                          </a:prstGeom>
                        </pic:spPr>
                      </pic:pic>
                    </a:graphicData>
                  </a:graphic>
                </wp:inline>
              </w:drawing>
            </w:r>
          </w:p>
          <w:p>
            <w:pPr>
              <w:spacing w:before="0" w:after="0"/>
              <w:jc w:val="center"/>
            </w:pPr>
            <w:r>
              <w:rPr>
                <w:color w:val="566377"/>
                <w:sz w:val="16"/>
              </w:rPr>
              <w:t xml:space="preserve">Primary logo</w:t>
            </w:r>
          </w:p>
        </w:tc>
      </w:tr>
    </w:tbl>
    <w:p>
      <w:pPr>
        <w:spacing w:before="0" w:after="60"/>
      </w:pPr>
    </w:p>
    <w:p>
      <w:pPr>
        <w:pStyle w:val="Heading1"/>
        <w:keepNext/>
      </w:pPr>
      <w:r>
        <w:t xml:space="preserve">Products and services</w:t>
      </w:r>
    </w:p>
    <w:p>
      <w:pPr>
        <w:spacing w:before="0" w:after="30"/>
        <w:ind w:left="120"/>
      </w:pPr>
      <w:r>
        <w:t xml:space="preserve">•  Savings accounts</w:t>
      </w:r>
    </w:p>
    <w:p>
      <w:pPr>
        <w:spacing w:before="0" w:after="30"/>
        <w:ind w:left="120"/>
      </w:pPr>
      <w:r>
        <w:t xml:space="preserve">•  SME loans</w:t>
      </w:r>
    </w:p>
    <w:p>
      <w:pPr>
        <w:spacing w:before="0" w:after="30"/>
        <w:ind w:left="120"/>
      </w:pPr>
      <w:r>
        <w:t xml:space="preserve">•  payday loans</w:t>
      </w:r>
    </w:p>
    <w:p>
      <w:pPr>
        <w:spacing w:before="0" w:after="30"/>
        <w:ind w:left="120"/>
      </w:pPr>
      <w:r>
        <w:t xml:space="preserve">•  education loans</w:t>
      </w:r>
    </w:p>
    <w:p>
      <w:pPr>
        <w:spacing w:before="0" w:after="30"/>
        <w:ind w:left="120"/>
      </w:pPr>
      <w:r>
        <w:t xml:space="preserve">•  working-capital finance</w:t>
      </w:r>
    </w:p>
    <w:p>
      <w:pPr>
        <w:spacing w:before="0" w:after="30"/>
        <w:ind w:left="120"/>
      </w:pPr>
      <w:r>
        <w:t xml:space="preserve">•  and other microfinance services</w:t>
      </w:r>
    </w:p>
    <w:p>
      <w:pPr>
        <w:spacing w:before="40" w:after="0"/>
      </w:pPr>
      <w:r>
        <w:rPr>
          <w:i/>
          <w:color w:val="566377"/>
          <w:sz w:val="17"/>
        </w:rPr>
        <w:t xml:space="preserve">Listed in the company profile.</w:t>
      </w:r>
    </w:p>
    <w:p>
      <w:pPr>
        <w:pStyle w:val="Heading1"/>
        <w:keepNext/>
      </w:pPr>
      <w:r>
        <w:t xml:space="preserve">Latest news about Mainstreet Microfinance Bank</w:t>
      </w:r>
    </w:p>
    <w:p>
      <w:pPr>
        <w:spacing w:before="0" w:after="50"/>
      </w:pPr>
      <w:r>
        <w:rPr>
          <w:color w:val="566377"/>
          <w:sz w:val="18"/>
        </w:rPr>
        <w:t xml:space="preserve">16 Jun 2026   </w:t>
      </w:r>
      <w:hyperlink r:id="rId14">
        <w:r>
          <w:rPr>
            <w:rStyle w:val="Hyperlink"/>
          </w:rPr>
          <w:t xml:space="preserve">Polaris Bank Mobile App: Full Review, Features &amp; How to Get Started (2026)</w:t>
        </w:r>
      </w:hyperlink>
    </w:p>
    <w:p>
      <w:r>
        <w:rPr>
          <w:i/>
          <w:color w:val="566377"/>
          <w:sz w:val="17"/>
        </w:rPr>
        <w:t xml:space="preserve">Articles published on Brands.Ng that mention this company.</w:t>
      </w:r>
    </w:p>
    <w:p>
      <w:pPr>
        <w:pStyle w:val="Heading1"/>
        <w:keepNext/>
      </w:pPr>
      <w:r>
        <w:t xml:space="preserve">Media, contacts and social</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0"/>
        <w:gridCol w:w="7238"/>
      </w:tblGrid>
      <w:tr>
        <w:trPr>
          <w:cantSplit/>
        </w:trPr>
        <w:tc>
          <w:tcPr>
            <w:tcW w:w="2400" w:type="dxa"/>
            <w:shd w:val="clear" w:color="auto" w:fill="F7F9FC"/>
            <w:vAlign w:val="top"/>
          </w:tcPr>
          <w:p>
            <w:pPr>
              <w:spacing w:before="0" w:after="0"/>
            </w:pPr>
            <w:r>
              <w:rPr>
                <w:color w:val="566377"/>
                <w:sz w:val="19"/>
              </w:rPr>
              <w:t xml:space="preserve">Head office</w:t>
            </w:r>
          </w:p>
        </w:tc>
        <w:tc>
          <w:tcPr>
            <w:tcW w:w="7238" w:type="dxa"/>
            <w:vAlign w:val="top"/>
          </w:tcPr>
          <w:p>
            <w:pPr>
              <w:spacing w:before="0" w:after="0"/>
            </w:pPr>
            <w:r>
              <w:rPr>
                <w:b/>
              </w:rPr>
              <w:t xml:space="preserve">Lagos, Nigeria</w:t>
            </w:r>
          </w:p>
        </w:tc>
      </w:tr>
      <w:tr>
        <w:trPr>
          <w:cantSplit/>
        </w:trPr>
        <w:tc>
          <w:tcPr>
            <w:tcW w:w="2400" w:type="dxa"/>
            <w:shd w:val="clear" w:color="auto" w:fill="F7F9FC"/>
            <w:vAlign w:val="top"/>
          </w:tcPr>
          <w:p>
            <w:pPr>
              <w:spacing w:before="0" w:after="0"/>
            </w:pPr>
            <w:r>
              <w:rPr>
                <w:color w:val="566377"/>
                <w:sz w:val="19"/>
              </w:rPr>
              <w:t xml:space="preserve">Website</w:t>
            </w:r>
          </w:p>
        </w:tc>
        <w:tc>
          <w:tcPr>
            <w:tcW w:w="7238" w:type="dxa"/>
            <w:vAlign w:val="top"/>
          </w:tcPr>
          <w:p>
            <w:pPr>
              <w:spacing w:before="0" w:after="0"/>
            </w:pPr>
            <w:hyperlink r:id="rId15">
              <w:r>
                <w:rPr>
                  <w:rStyle w:val="Hyperlink"/>
                </w:rPr>
                <w:t xml:space="preserve">https://www.mainstreetmfb.com</w:t>
              </w:r>
            </w:hyperlink>
          </w:p>
        </w:tc>
      </w:tr>
    </w:tbl>
    <w:p>
      <w:pPr>
        <w:spacing w:before="0" w:after="60"/>
      </w:pPr>
    </w:p>
    <w:p>
      <w:pPr>
        <w:pStyle w:val="Heading1"/>
        <w:keepNext/>
      </w:pPr>
      <w:r>
        <w:t xml:space="preserve">About this document</w:t>
      </w:r>
    </w:p>
    <w:p>
      <w:pPr>
        <w:shd w:val="clear" w:color="auto" w:fill="F7F9FC"/>
        <w:spacing w:before="0" w:after="40"/>
        <w:ind w:left="80"/>
      </w:pPr>
      <w:r>
        <w:rPr>
          <w:sz w:val="18"/>
        </w:rPr>
        <w:t xml:space="preserve">Generated on 15 October 2026 from the Brands.Ng Brand Passport.</w:t>
      </w:r>
    </w:p>
    <w:p>
      <w:pPr>
        <w:shd w:val="clear" w:color="auto" w:fill="F7F9FC"/>
        <w:spacing w:before="0" w:after="40"/>
        <w:ind w:left="80"/>
      </w:pPr>
      <w:r>
        <w:rPr>
          <w:sz w:val="18"/>
        </w:rPr>
        <w:t xml:space="preserve">It contains only published, sourced information and may have changed since. Check the linked sources before relying on a fact.</w:t>
      </w:r>
    </w:p>
    <w:p>
      <w:pPr>
        <w:shd w:val="clear" w:color="auto" w:fill="F7F9FC"/>
        <w:spacing w:before="0" w:after="40"/>
        <w:ind w:left="80"/>
      </w:pPr>
      <w:r>
        <w:rPr>
          <w:sz w:val="18"/>
        </w:rPr>
        <w:t xml:space="preserve">"Verified" means Brands.Ng has verified the company through its own review process. It is not a government certification and does not guarantee every statement.</w:t>
      </w:r>
    </w:p>
    <w:p>
      <w:pPr>
        <w:shd w:val="clear" w:color="auto" w:fill="F7F9FC"/>
        <w:spacing w:before="0" w:after="120"/>
        <w:ind w:left="80"/>
      </w:pPr>
      <w:r>
        <w:rPr>
          <w:b/>
          <w:color w:val="566377"/>
          <w:sz w:val="18"/>
        </w:rPr>
        <w:t xml:space="preserve">Live profile:  </w:t>
      </w:r>
      <w:hyperlink r:id="rId16">
        <w:r>
          <w:rPr>
            <w:rStyle w:val="Hyperlink"/>
          </w:rPr>
          <w:t xml:space="preserve">https://brands.ng/companies/mainstreet-microfinance-bank/</w:t>
        </w:r>
      </w:hyperlink>
    </w:p>
    <w:p>
      <w:pPr>
        <w:keepNext/>
        <w:spacing w:before="60" w:after="40"/>
      </w:pPr>
      <w:r>
        <w:rPr>
          <w:b/>
          <w:caps/>
          <w:color w:val="566377"/>
          <w:sz w:val="16"/>
        </w:rPr>
        <w:t xml:space="preserve">How to read the source labels</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3300"/>
        <w:gridCol w:w="6338"/>
      </w:tblGrid>
      <w:tr>
        <w:trPr>
          <w:cantSplit/>
        </w:trPr>
        <w:tc>
          <w:tcPr>
            <w:tcW w:w="3300" w:type="dxa"/>
            <w:vAlign w:val="top"/>
          </w:tcPr>
          <w:p>
            <w:pPr>
              <w:spacing w:before="0" w:after="0"/>
            </w:pPr>
            <w:r>
              <w:rPr>
                <w:b/>
                <w:color w:val="262578"/>
                <w:sz w:val="18"/>
              </w:rPr>
              <w:t xml:space="preserve">Company-confirmed</w:t>
            </w:r>
          </w:p>
        </w:tc>
        <w:tc>
          <w:tcPr>
            <w:tcW w:w="6338" w:type="dxa"/>
            <w:vAlign w:val="top"/>
          </w:tcPr>
          <w:p>
            <w:pPr>
              <w:spacing w:before="0" w:after="0"/>
            </w:pPr>
            <w:r>
              <w:rPr>
                <w:color w:val="566377"/>
                <w:sz w:val="18"/>
              </w:rPr>
              <w:t xml:space="preserve">Supplied by an authorised company representative and approved by Brands.Ng.</w:t>
            </w:r>
          </w:p>
        </w:tc>
      </w:tr>
      <w:tr>
        <w:trPr>
          <w:cantSplit/>
        </w:trPr>
        <w:tc>
          <w:tcPr>
            <w:tcW w:w="3300" w:type="dxa"/>
            <w:vAlign w:val="top"/>
          </w:tcPr>
          <w:p>
            <w:pPr>
              <w:spacing w:before="0" w:after="0"/>
            </w:pPr>
            <w:r>
              <w:rPr>
                <w:b/>
                <w:color w:val="262578"/>
                <w:sz w:val="18"/>
              </w:rPr>
              <w:t xml:space="preserve">Publicly documented</w:t>
            </w:r>
          </w:p>
        </w:tc>
        <w:tc>
          <w:tcPr>
            <w:tcW w:w="6338" w:type="dxa"/>
            <w:vAlign w:val="top"/>
          </w:tcPr>
          <w:p>
            <w:pPr>
              <w:spacing w:before="0" w:after="0"/>
            </w:pPr>
            <w:r>
              <w:rPr>
                <w:color w:val="566377"/>
                <w:sz w:val="18"/>
              </w:rPr>
              <w:t xml:space="preserve">Backed by a regulator or other primary record.</w:t>
            </w:r>
          </w:p>
        </w:tc>
      </w:tr>
      <w:tr>
        <w:trPr>
          <w:cantSplit/>
        </w:trPr>
        <w:tc>
          <w:tcPr>
            <w:tcW w:w="3300" w:type="dxa"/>
            <w:vAlign w:val="top"/>
          </w:tcPr>
          <w:p>
            <w:pPr>
              <w:spacing w:before="0" w:after="0"/>
            </w:pPr>
            <w:r>
              <w:rPr>
                <w:b/>
                <w:color w:val="262578"/>
                <w:sz w:val="18"/>
              </w:rPr>
              <w:t xml:space="preserve">Reported by independent source</w:t>
            </w:r>
          </w:p>
        </w:tc>
        <w:tc>
          <w:tcPr>
            <w:tcW w:w="6338" w:type="dxa"/>
            <w:vAlign w:val="top"/>
          </w:tcPr>
          <w:p>
            <w:pPr>
              <w:spacing w:before="0" w:after="0"/>
            </w:pPr>
            <w:r>
              <w:rPr>
                <w:color w:val="566377"/>
                <w:sz w:val="18"/>
              </w:rPr>
              <w:t xml:space="preserve">Reported by a publication that is not the company.</w:t>
            </w:r>
          </w:p>
        </w:tc>
      </w:tr>
      <w:tr>
        <w:trPr>
          <w:cantSplit/>
        </w:trPr>
        <w:tc>
          <w:tcPr>
            <w:tcW w:w="3300" w:type="dxa"/>
            <w:vAlign w:val="top"/>
          </w:tcPr>
          <w:p>
            <w:pPr>
              <w:spacing w:before="0" w:after="0"/>
            </w:pPr>
            <w:r>
              <w:rPr>
                <w:b/>
                <w:color w:val="262578"/>
                <w:sz w:val="18"/>
              </w:rPr>
              <w:t xml:space="preserve">Brands.Ng research</w:t>
            </w:r>
          </w:p>
        </w:tc>
        <w:tc>
          <w:tcPr>
            <w:tcW w:w="6338" w:type="dxa"/>
            <w:vAlign w:val="top"/>
          </w:tcPr>
          <w:p>
            <w:pPr>
              <w:spacing w:before="0" w:after="0"/>
            </w:pPr>
            <w:r>
              <w:rPr>
                <w:color w:val="566377"/>
                <w:sz w:val="18"/>
              </w:rPr>
              <w:t xml:space="preserve">Compiled by Brands.Ng editors; never counted as independent corroboration.</w:t>
            </w:r>
          </w:p>
        </w:tc>
      </w:tr>
      <w:tr>
        <w:trPr>
          <w:cantSplit/>
        </w:trPr>
        <w:tc>
          <w:tcPr>
            <w:tcW w:w="3300" w:type="dxa"/>
            <w:vAlign w:val="top"/>
          </w:tcPr>
          <w:p>
            <w:pPr>
              <w:spacing w:before="0" w:after="0"/>
            </w:pPr>
            <w:r>
              <w:rPr>
                <w:b/>
                <w:color w:val="262578"/>
                <w:sz w:val="18"/>
              </w:rPr>
              <w:t xml:space="preserve">Not publicly verified</w:t>
            </w:r>
          </w:p>
        </w:tc>
        <w:tc>
          <w:tcPr>
            <w:tcW w:w="6338" w:type="dxa"/>
            <w:vAlign w:val="top"/>
          </w:tcPr>
          <w:p>
            <w:pPr>
              <w:spacing w:before="0" w:after="0"/>
            </w:pPr>
            <w:r>
              <w:rPr>
                <w:color w:val="566377"/>
                <w:sz w:val="18"/>
              </w:rPr>
              <w:t xml:space="preserve">No source yet. It is left blank rather than guessed.</w:t>
            </w:r>
          </w:p>
        </w:tc>
      </w:tr>
    </w:tbl>
    <w:p>
      <w:pPr>
        <w:spacing w:before="0" w:after="60"/>
      </w:pPr>
    </w:p>
    <w:sectPr>
      <w:footerReference w:type="default" r:id="rId3"/>
      <w:pgSz w:w="11906" w:h="16838"/>
      <w:pgMar w:top="1134" w:right="1134" w:bottom="1134" w:left="1134" w:header="567" w:footer="567" w:gutter="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Bdr>
        <w:top w:val="single" w:sz="4" w:space="4" w:color="E3E8F1"/>
      </w:pBdr>
      <w:tabs>
        <w:tab w:val="right" w:pos="9638"/>
      </w:tabs>
    </w:pPr>
    <w:r>
      <w:rPr>
        <w:color w:val="566377"/>
        <w:sz w:val="16"/>
      </w:rPr>
      <w:t xml:space="preserve">Brands.Ng Brand Passport  |  Mainstreet Microfinance Bank</w:t>
    </w:r>
    <w:r>
      <w:tab/>
    </w:r>
    <w:r>
      <w:rPr>
        <w:color w:val="566377"/>
        <w:sz w:val="16"/>
      </w:rPr>
      <w:t xml:space="preserve">Page </w:t>
    </w:r>
    <w:r>
      <w:rPr>
        <w:color w:val="566377"/>
        <w:sz w:val="16"/>
      </w:rPr>
      <w:fldChar w:fldCharType="begin"/>
    </w:r>
    <w:r>
      <w:rPr>
        <w:color w:val="566377"/>
        <w:sz w:val="16"/>
      </w:rPr>
      <w:instrText xml:space="preserve"> PAGE </w:instrText>
    </w:r>
    <w:r>
      <w:rPr>
        <w:color w:val="566377"/>
        <w:sz w:val="16"/>
      </w:rPr>
      <w:fldChar w:fldCharType="separate"/>
    </w:r>
    <w:r>
      <w:rPr>
        <w:color w:val="566377"/>
        <w:sz w:val="16"/>
      </w:rPr>
      <w:t>1</w:t>
    </w:r>
    <w:r>
      <w:rPr>
        <w:color w:val="566377"/>
        <w:sz w:val="16"/>
      </w:rPr>
      <w:fldChar w:fldCharType="end"/>
    </w:r>
    <w:r>
      <w:rPr>
        <w:color w:val="566377"/>
        <w:sz w:val="16"/>
      </w:rPr>
      <w:t xml:space="preserve"> of </w:t>
    </w:r>
    <w:r>
      <w:rPr>
        <w:color w:val="566377"/>
        <w:sz w:val="16"/>
      </w:rPr>
      <w:fldChar w:fldCharType="begin"/>
    </w:r>
    <w:r>
      <w:rPr>
        <w:color w:val="566377"/>
        <w:sz w:val="16"/>
      </w:rPr>
      <w:instrText xml:space="preserve"> NUMPAGES </w:instrText>
    </w:r>
    <w:r>
      <w:rPr>
        <w:color w:val="566377"/>
        <w:sz w:val="16"/>
      </w:rPr>
      <w:fldChar w:fldCharType="separate"/>
    </w:r>
    <w:r>
      <w:rPr>
        <w:color w:val="566377"/>
        <w:sz w:val="16"/>
      </w:rPr>
      <w:t>1</w:t>
    </w:r>
    <w:r>
      <w:rPr>
        <w:color w:val="566377"/>
        <w:sz w:val="16"/>
      </w:rPr>
      <w:fldChar w:fldCharType="end"/>
    </w:r>
  </w:p>
</w:ftr>
</file>

<file path=word/styles.xml><?xml version="1.0" encoding="utf-8"?>
<w:style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ocDefaults>
    <w:rPrDefault>
      <w:rPr>
        <w:rFonts w:ascii="Calibri" w:hAnsi="Calibri" w:eastAsia="Calibri" w:cs="Calibri"/>
        <w:color w:val="0F172A"/>
        <w:sz w:val="21"/>
        <w:szCs w:val="21"/>
        <w:lang w:val="en-GB"/>
      </w:rPr>
    </w:rPrDefault>
    <w:pPrDefault>
      <w:pPr>
        <w:spacing w:after="80" w:line="264" w:lineRule="auto"/>
      </w:pPr>
    </w:pPrDefault>
  </w:docDefaults>
  <w:style w:type="paragraph" w:default="1" w:styleId="Normal">
    <w:name w:val="Normal"/>
    <w:qFormat/>
  </w:style>
  <w:style w:type="paragraph" w:styleId="Heading1">
    <w:name w:val="heading 1"/>
    <w:basedOn w:val="Normal"/>
    <w:next w:val="Normal"/>
    <w:qFormat/>
    <w:pPr>
      <w:keepNext/>
      <w:pBdr>
        <w:bottom w:val="single" w:sz="6" w:space="3" w:color="262578"/>
      </w:pBdr>
      <w:spacing w:before="320" w:after="140"/>
      <w:outlineLvl w:val="0"/>
    </w:pPr>
    <w:rPr>
      <w:b/>
      <w:color w:val="262578"/>
      <w:sz w:val="28"/>
      <w:szCs w:val="28"/>
    </w:rPr>
  </w:style>
  <w:style w:type="character" w:styleId="Hyperlink">
    <w:name w:val="Hyperlink"/>
    <w:rPr>
      <w:color w:val="1D4ED8"/>
      <w:u w:val="single"/>
    </w:r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3" Type="http://schemas.openxmlformats.org/officeDocument/2006/relationships/footer" Target="footer1.xml"/><Relationship Id="rId12" Type="http://schemas.openxmlformats.org/officeDocument/2006/relationships/hyperlink" Target="https://www.mainstreetmfb.com" TargetMode="External"/><Relationship Id="rId14" Type="http://schemas.openxmlformats.org/officeDocument/2006/relationships/hyperlink" Target="https://brands.ng/polaris-bank-mobile-app/" TargetMode="External"/><Relationship Id="rId15" Type="http://schemas.openxmlformats.org/officeDocument/2006/relationships/hyperlink" Target="https://www.mainstreetmfb.com" TargetMode="External"/><Relationship Id="rId16" Type="http://schemas.openxmlformats.org/officeDocument/2006/relationships/hyperlink" Target="https://brands.ng/companies/mainstreet-microfinance-bank/" TargetMode="External"/><Relationship Id="rId11" Type="http://schemas.openxmlformats.org/officeDocument/2006/relationships/image" Target="media/image1.png"/><Relationship Id="rId13" Type="http://schemas.openxmlformats.org/officeDocument/2006/relationships/image" Target="media/image2.png"/></Relationships>
</file>

<file path=docProps/app.xml><?xml version="1.0" encoding="utf-8"?>
<Properties xmlns="http://schemas.openxmlformats.org/officeDocument/2006/extended-properties">
  <Application>Brands.Ng Brand Passport</Application>
</Properties>
</file>

<file path=docProps/core.xml><?xml version="1.0" encoding="utf-8"?>
<cp:coreProperties xmlns:cp="http://schemas.openxmlformats.org/package/2006/metadata/core-properties" xmlns:dc="http://purl.org/dc/elements/1.1/" xmlns:dcterms="http://purl.org/dc/terms/" xmlns:xsi="http://www.w3.org/2001/XMLSchema-instance">
  <dc:title>Mainstreet Microfinance Bank - Brand Profile</dc:title>
  <dc:subject>Brand profile of Mainstreet Microfinance Bank</dc:subject>
  <dc:creator>Brands.Ng</dc:creator>
  <dcterms:created xsi:type="dcterms:W3CDTF">2026-10-15T21:01:23Z</dcterms:created>
</cp:coreProperties>
</file>