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Borders>
          <w:top w:val="nil"/>
          <w:left w:val="nil"/>
          <w:bottom w:val="nil"/>
          <w:right w:val="nil"/>
          <w:insideH w:val="nil"/>
          <w:insideV w:val="nil"/>
        </w:tblBorders>
        <w:tblLayout w:type="fixed"/>
        <w:tblCellMar>
          <w:top w:w="70" w:type="dxa"/>
          <w:left w:w="110" w:type="dxa"/>
          <w:bottom w:w="70" w:type="dxa"/>
          <w:right w:w="110" w:type="dxa"/>
        </w:tblCellMar>
      </w:tblPr>
      <w:tblGrid>
        <w:gridCol w:w="200"/>
        <w:gridCol w:w="2200"/>
        <w:gridCol w:w="7238"/>
      </w:tblGrid>
      <w:tr>
        <w:tc>
          <w:tcPr>
            <w:tcW w:w="200" w:type="dxa"/>
            <w:shd w:val="clear" w:color="auto" w:fill="262578"/>
            <w:vAlign w:val="center"/>
          </w:tcPr>
          <w:p/>
        </w:tc>
        <w:tc>
          <w:tcPr>
            <w:tcW w:w="2200" w:type="dxa"/>
            <w:shd w:val="clear" w:color="auto" w:fill="FFFFFF"/>
            <w:vAlign w:val="center"/>
          </w:tcPr>
          <w:p>
            <w:pPr>
              <w:spacing w:before="120" w:after="120"/>
              <w:jc w:val="center"/>
            </w:pPr>
            <w:r>
              <w:drawing>
                <wp:inline distT="0" distB="0" distL="0" distR="0">
                  <wp:extent cx="1008000" cy="1008000"/>
                  <wp:docPr id="2" name="Picture 2" descr="Jubilee-Life Mortgage Bank logo"/>
                  <wp:cNvGraphicFramePr>
                    <a:graphicFrameLocks noChangeAspect="1"/>
                  </wp:cNvGraphicFramePr>
                  <a:graphic>
                    <a:graphicData uri="http://schemas.openxmlformats.org/drawingml/2006/picture">
                      <pic:pic>
                        <pic:nvPicPr>
                          <pic:cNvPr id="2" name="image1.png" descr="Jubilee-Life Mortgage Bank logo"/>
                          <pic:cNvPicPr/>
                        </pic:nvPicPr>
                        <pic:blipFill>
                          <a:blip r:embed="rId11"/>
                          <a:stretch>
                            <a:fillRect/>
                          </a:stretch>
                        </pic:blipFill>
                        <pic:spPr>
                          <a:xfrm>
                            <a:off x="0" y="0"/>
                            <a:ext cx="1008000" cy="1008000"/>
                          </a:xfrm>
                          <a:prstGeom prst="rect">
                            <a:avLst/>
                          </a:prstGeom>
                        </pic:spPr>
                      </pic:pic>
                    </a:graphicData>
                  </a:graphic>
                </wp:inline>
              </w:drawing>
            </w:r>
          </w:p>
        </w:tc>
        <w:tc>
          <w:tcPr>
            <w:tcW w:w="7238" w:type="dxa"/>
            <w:shd w:val="clear" w:color="auto" w:fill="262578"/>
            <w:vAlign w:val="center"/>
          </w:tcPr>
          <w:p>
            <w:pPr>
              <w:spacing w:before="0" w:after="40"/>
            </w:pPr>
            <w:r>
              <w:rPr>
                <w:b/>
                <w:color w:val="FFFFFF"/>
                <w:sz w:val="48"/>
              </w:rPr>
              <w:t xml:space="preserve">Jubilee-Life Mortgage Bank</w:t>
            </w:r>
          </w:p>
          <w:p>
            <w:pPr>
              <w:spacing w:before="0" w:after="20"/>
            </w:pPr>
            <w:r>
              <w:rPr>
                <w:b/>
                <w:color w:val="FFFFFF"/>
                <w:sz w:val="22"/>
              </w:rPr>
              <w:t xml:space="preserve">Jubilee-Life Mortgage Bank Plc</w:t>
            </w:r>
          </w:p>
          <w:p>
            <w:pPr>
              <w:spacing w:before="80" w:after="0"/>
            </w:pPr>
            <w:r>
              <w:rPr>
                <w:b/>
                <w:color w:val="FFFFFF"/>
                <w:sz w:val="18"/>
              </w:rPr>
              <w:t xml:space="preserve">Unclaimed profile   |   Banking, Finance, Investments   |   Nigeria</w:t>
            </w:r>
          </w:p>
        </w:tc>
      </w:tr>
    </w:tbl>
    <w:p>
      <w:pPr>
        <w:spacing w:before="0" w:after="60"/>
      </w:pP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sz w:val="30"/>
              </w:rPr>
              <w:t xml:space="preserve">Banking, Finance, Investments</w:t>
            </w:r>
          </w:p>
          <w:p>
            <w:pPr>
              <w:spacing w:before="0" w:after="0"/>
            </w:pPr>
            <w:r>
              <w:rPr>
                <w:color w:val="566377"/>
                <w:sz w:val="17"/>
              </w:rPr>
              <w:t xml:space="preserve">Industry</w:t>
            </w:r>
          </w:p>
        </w:tc>
        <w:tc>
          <w:tcPr>
            <w:tcW w:w="2409" w:type="dxa"/>
            <w:vAlign w:val="top"/>
          </w:tcPr>
          <w:p>
            <w:pPr>
              <w:spacing w:before="0" w:after="20"/>
            </w:pPr>
            <w:r>
              <w:rPr>
                <w:b/>
                <w:sz w:val="30"/>
              </w:rPr>
              <w:t xml:space="preserve">Nigeria</w:t>
            </w:r>
          </w:p>
          <w:p>
            <w:pPr>
              <w:spacing w:before="0" w:after="0"/>
            </w:pPr>
            <w:r>
              <w:rPr>
                <w:color w:val="566377"/>
                <w:sz w:val="17"/>
              </w:rPr>
              <w:t xml:space="preserve">Country</w:t>
            </w:r>
          </w:p>
        </w:tc>
        <w:tc>
          <w:tcPr>
            <w:tcW w:w="2409" w:type="dxa"/>
            <w:vAlign w:val="top"/>
          </w:tcPr>
          <w:p>
            <w:pPr>
              <w:spacing w:before="0" w:after="20"/>
            </w:pPr>
            <w:r>
              <w:rPr>
                <w:b/>
                <w:sz w:val="30"/>
              </w:rPr>
              <w:t xml:space="preserve">65 Adeniyi Jones Avenue, Ikeja, Lagos</w:t>
            </w:r>
          </w:p>
          <w:p>
            <w:pPr>
              <w:spacing w:before="0" w:after="0"/>
            </w:pPr>
            <w:r>
              <w:rPr>
                <w:color w:val="566377"/>
                <w:sz w:val="17"/>
              </w:rPr>
              <w:t xml:space="preserve">Head office</w:t>
            </w:r>
          </w:p>
        </w:tc>
        <w:tc>
          <w:tcPr>
            <w:tcW w:w="2409" w:type="dxa"/>
            <w:vAlign w:val="top"/>
          </w:tcPr>
          <w:p>
            <w:pPr>
              <w:spacing w:before="0" w:after="20"/>
            </w:pPr>
            <w:r>
              <w:rPr>
                <w:b/>
                <w:sz w:val="30"/>
              </w:rPr>
              <w:t xml:space="preserve">1992</w:t>
            </w:r>
          </w:p>
          <w:p>
            <w:pPr>
              <w:spacing w:before="0" w:after="0"/>
            </w:pPr>
            <w:r>
              <w:rPr>
                <w:color w:val="566377"/>
                <w:sz w:val="17"/>
              </w:rPr>
              <w:t xml:space="preserve">Founded</w:t>
            </w:r>
          </w:p>
        </w:tc>
      </w:tr>
    </w:tbl>
    <w:p>
      <w:pPr>
        <w:spacing w:before="0" w:after="60"/>
      </w:pPr>
    </w:p>
    <w:p>
      <w:pPr>
        <w:pStyle w:val="Heading1"/>
        <w:keepNext/>
      </w:pPr>
      <w:r>
        <w:t xml:space="preserve">Key information</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Official name</w:t>
            </w:r>
          </w:p>
        </w:tc>
        <w:tc>
          <w:tcPr>
            <w:tcW w:w="7238" w:type="dxa"/>
            <w:vAlign w:val="top"/>
          </w:tcPr>
          <w:p>
            <w:pPr>
              <w:spacing w:before="0" w:after="0"/>
            </w:pPr>
            <w:r>
              <w:rPr>
                <w:b/>
              </w:rPr>
              <w:t xml:space="preserve">Jubilee-Life Mortgage Bank Plc</w:t>
            </w:r>
          </w:p>
        </w:tc>
      </w:tr>
      <w:tr>
        <w:trPr>
          <w:cantSplit/>
        </w:trPr>
        <w:tc>
          <w:tcPr>
            <w:tcW w:w="2400" w:type="dxa"/>
            <w:shd w:val="clear" w:color="auto" w:fill="F7F9FC"/>
            <w:vAlign w:val="top"/>
          </w:tcPr>
          <w:p>
            <w:pPr>
              <w:spacing w:before="0" w:after="0"/>
            </w:pPr>
            <w:r>
              <w:rPr>
                <w:color w:val="566377"/>
                <w:sz w:val="19"/>
              </w:rPr>
              <w:t xml:space="preserve">Industry</w:t>
            </w:r>
          </w:p>
        </w:tc>
        <w:tc>
          <w:tcPr>
            <w:tcW w:w="7238" w:type="dxa"/>
            <w:vAlign w:val="top"/>
          </w:tcPr>
          <w:p>
            <w:pPr>
              <w:spacing w:before="0" w:after="0"/>
            </w:pPr>
            <w:r>
              <w:rPr>
                <w:b/>
              </w:rPr>
              <w:t xml:space="preserve">Banking, Finance, Investments</w:t>
            </w:r>
          </w:p>
        </w:tc>
      </w:tr>
      <w:tr>
        <w:trPr>
          <w:cantSplit/>
        </w:trPr>
        <w:tc>
          <w:tcPr>
            <w:tcW w:w="2400" w:type="dxa"/>
            <w:shd w:val="clear" w:color="auto" w:fill="F7F9FC"/>
            <w:vAlign w:val="top"/>
          </w:tcPr>
          <w:p>
            <w:pPr>
              <w:spacing w:before="0" w:after="0"/>
            </w:pPr>
            <w:r>
              <w:rPr>
                <w:color w:val="566377"/>
                <w:sz w:val="19"/>
              </w:rPr>
              <w:t xml:space="preserve">Country</w:t>
            </w:r>
          </w:p>
        </w:tc>
        <w:tc>
          <w:tcPr>
            <w:tcW w:w="7238" w:type="dxa"/>
            <w:vAlign w:val="top"/>
          </w:tcPr>
          <w:p>
            <w:pPr>
              <w:spacing w:before="0" w:after="0"/>
            </w:pPr>
            <w:r>
              <w:rPr>
                <w:b/>
              </w:rPr>
              <w:t xml:space="preserve">Nigeria</w:t>
            </w:r>
          </w:p>
        </w:tc>
      </w:tr>
      <w:tr>
        <w:trPr>
          <w:cantSplit/>
        </w:trPr>
        <w:tc>
          <w:tcPr>
            <w:tcW w:w="2400" w:type="dxa"/>
            <w:shd w:val="clear" w:color="auto" w:fill="F7F9FC"/>
            <w:vAlign w:val="top"/>
          </w:tcPr>
          <w:p>
            <w:pPr>
              <w:spacing w:before="0" w:after="0"/>
            </w:pPr>
            <w:r>
              <w:rPr>
                <w:color w:val="566377"/>
                <w:sz w:val="19"/>
              </w:rPr>
              <w:t xml:space="preserve">Founded</w:t>
            </w:r>
          </w:p>
        </w:tc>
        <w:tc>
          <w:tcPr>
            <w:tcW w:w="7238" w:type="dxa"/>
            <w:vAlign w:val="top"/>
          </w:tcPr>
          <w:p>
            <w:pPr>
              <w:spacing w:before="0" w:after="0"/>
            </w:pPr>
            <w:r>
              <w:rPr>
                <w:b/>
              </w:rPr>
              <w:t xml:space="preserve">1992</w:t>
            </w:r>
          </w:p>
        </w:tc>
      </w:tr>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65 Adeniyi Jones Avenue, Ikeja, Lagos</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2">
              <w:r>
                <w:rPr>
                  <w:rStyle w:val="Hyperlink"/>
                </w:rPr>
                <w:t xml:space="preserve">jubileelifeng.com</w:t>
              </w:r>
            </w:hyperlink>
          </w:p>
        </w:tc>
      </w:tr>
      <w:tr>
        <w:trPr>
          <w:cantSplit/>
        </w:trPr>
        <w:tc>
          <w:tcPr>
            <w:tcW w:w="2400" w:type="dxa"/>
            <w:shd w:val="clear" w:color="auto" w:fill="F7F9FC"/>
            <w:vAlign w:val="top"/>
          </w:tcPr>
          <w:p>
            <w:pPr>
              <w:spacing w:before="0" w:after="0"/>
            </w:pPr>
            <w:r>
              <w:rPr>
                <w:color w:val="566377"/>
                <w:sz w:val="19"/>
              </w:rPr>
              <w:t xml:space="preserve">Employees</w:t>
            </w:r>
          </w:p>
        </w:tc>
        <w:tc>
          <w:tcPr>
            <w:tcW w:w="7238" w:type="dxa"/>
            <w:vAlign w:val="top"/>
          </w:tcPr>
          <w:p>
            <w:pPr>
              <w:spacing w:before="0" w:after="0"/>
            </w:pPr>
            <w:r>
              <w:rPr>
                <w:b/>
              </w:rPr>
              <w:t xml:space="preserve">70+</w:t>
            </w:r>
          </w:p>
        </w:tc>
      </w:tr>
    </w:tbl>
    <w:p>
      <w:pPr>
        <w:spacing w:before="0" w:after="60"/>
      </w:pPr>
    </w:p>
    <w:p>
      <w:pPr>
        <w:pStyle w:val="Heading1"/>
        <w:keepNext/>
      </w:pPr>
      <w:r>
        <w:t xml:space="preserve">About</w:t>
      </w:r>
    </w:p>
    <w:p>
      <w:pPr>
        <w:spacing w:before="0" w:after="100"/>
      </w:pPr>
      <w:r>
        <w:t xml:space="preserve">Jubilee-Life Mortgage Bank Plc is a licensed Primary Mortgage Bank (PMB) headquartered in Lagos, Nigeria, with over three decades of continuous operation in the country's housing finance sector. Incorporated in August 1992 as Gilt-Bond Mortgage Finance Limited, the institution was renamed Jubilee-Life Savings and Loans Limited in February 2004 before evolving into its current identity as a full-fledged mortgage bank. The bank is authorised and supervised by the Central Bank of Nigeria (CBN) and the Federal Mortgage Bank of Nigeria (FMBN) under CBN Decree 24 of 1991 and FMBN Decree No. 53 of 1989, and it appears on PenCom's official list of eligible PMBs as a national-tier operator.</w:t>
      </w:r>
    </w:p>
    <w:p>
      <w:pPr>
        <w:spacing w:before="0" w:after="100"/>
      </w:pPr>
      <w:r>
        <w:t xml:space="preserve">Core Mandate and Operating Model</w:t>
      </w:r>
    </w:p>
    <w:p>
      <w:pPr>
        <w:spacing w:before="0" w:after="100"/>
      </w:pPr>
      <w:r>
        <w:t xml:space="preserve">Jubilee-Life's core mandate aligns with the standard Nigerian PMB model: originating residential mortgage loans to individual homebuyers, mobilising retail deposits, and accessing wholesale funding through the National Housing Fund (NHF) administered by the FMBN. This tripartite revenue and funding structure - retail deposits, mortgage origination fees and interest income, and NHF-backed liquidity - defines the business economics for most licensed PMBs in Nigeria. The bank's head office is located at 65 Adeniyi Jones Avenue, Ikeja, Lagos, with additional operational presence at 51 Marina, Lagos, reflecting its focus on the Lagos metropolitan housing market.</w:t>
      </w:r>
    </w:p>
    <w:p>
      <w:pPr>
        <w:spacing w:before="0" w:after="100"/>
      </w:pPr>
      <w:r>
        <w:t xml:space="preserve">Regulatory Context and Sector Positioning</w:t>
      </w:r>
    </w:p>
    <w:p>
      <w:pPr>
        <w:spacing w:before="0" w:after="100"/>
      </w:pPr>
      <w:r>
        <w:t xml:space="preserve">Since 1992, Jubilee-Life has operated through multiple CBN-mandated regulatory reform cycles, including successive increases in minimum paid-up capital requirements that have driven significant consolidation across Nigeria's PMB sector. Under current CBN guidelines, national PMBs must maintain a minimum capital of ₦5 billion, a threshold that has filtered out weaker operators and rewarded institutions with sustained capitalisation and risk management discipline. Jubilee-Life's paid-up capital was increased to ₦3 billion by November 2008, positioning it for subsequent upgrades and licensing transitions as the regulatory framework tightened.</w:t>
      </w:r>
    </w:p>
    <w:p>
      <w:pPr>
        <w:shd w:val="clear" w:color="auto" w:fill="E5E5EF"/>
        <w:spacing w:before="80" w:after="120"/>
        <w:ind w:left="120"/>
      </w:pPr>
      <w:r>
        <w:rPr>
          <w:b/>
        </w:rPr>
        <w:t xml:space="preserve">To provide dependable mortgage finance solutions that support Nigerian families in achieving homeownership.</w:t>
      </w:r>
      <w:r>
        <w:rPr>
          <w:i/>
          <w:color w:val="566377"/>
          <w:sz w:val="17"/>
        </w:rPr>
        <w:t xml:space="preserve">   Mission statement</w:t>
      </w:r>
    </w:p>
    <w:p>
      <w:pPr>
        <w:pStyle w:val="Heading1"/>
        <w:keepNext/>
      </w:pPr>
      <w:r>
        <w:t xml:space="preserve">Trust and reputation measures</w:t>
      </w: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color w:val="566377"/>
                <w:sz w:val="17"/>
              </w:rPr>
              <w:t xml:space="preserve">Trust Score</w:t>
            </w:r>
          </w:p>
          <w:p>
            <w:pPr>
              <w:spacing w:before="0" w:after="20"/>
            </w:pPr>
            <w:r>
              <w:rPr>
                <w:b/>
                <w:sz w:val="24"/>
              </w:rPr>
              <w:t xml:space="preserve">Not yet rated</w:t>
            </w:r>
          </w:p>
          <w:p>
            <w:pPr>
              <w:spacing w:before="0" w:after="0"/>
            </w:pPr>
            <w:r>
              <w:rPr>
                <w:color w:val="566377"/>
                <w:sz w:val="17"/>
              </w:rPr>
              <w:t xml:space="preserve">Needs reviews and evidence</w:t>
            </w:r>
          </w:p>
        </w:tc>
        <w:tc>
          <w:tcPr>
            <w:tcW w:w="2409" w:type="dxa"/>
            <w:vAlign w:val="top"/>
          </w:tcPr>
          <w:p>
            <w:pPr>
              <w:spacing w:before="0" w:after="20"/>
            </w:pPr>
            <w:r>
              <w:rPr>
                <w:b/>
                <w:color w:val="566377"/>
                <w:sz w:val="17"/>
              </w:rPr>
              <w:t xml:space="preserve">Profile Strength</w:t>
            </w:r>
          </w:p>
          <w:p>
            <w:pPr>
              <w:spacing w:before="0" w:after="20"/>
            </w:pPr>
            <w:r>
              <w:rPr>
                <w:b/>
                <w:sz w:val="24"/>
              </w:rPr>
              <w:t xml:space="preserve">41/100</w:t>
            </w:r>
          </w:p>
          <w:p>
            <w:pPr>
              <w:spacing w:before="0" w:after="0"/>
            </w:pPr>
            <w:r>
              <w:rPr>
                <w:color w:val="566377"/>
                <w:sz w:val="17"/>
              </w:rPr>
              <w:t xml:space="preserve">Partially Complete</w:t>
            </w:r>
          </w:p>
        </w:tc>
        <w:tc>
          <w:tcPr>
            <w:tcW w:w="2409" w:type="dxa"/>
            <w:vAlign w:val="top"/>
          </w:tcPr>
          <w:p>
            <w:pPr>
              <w:spacing w:before="0" w:after="20"/>
            </w:pPr>
            <w:r>
              <w:rPr>
                <w:b/>
                <w:color w:val="566377"/>
                <w:sz w:val="17"/>
              </w:rPr>
              <w:t xml:space="preserve">Evidence</w:t>
            </w:r>
          </w:p>
          <w:p>
            <w:pPr>
              <w:spacing w:before="0" w:after="20"/>
            </w:pPr>
            <w:r>
              <w:rPr>
                <w:b/>
                <w:sz w:val="24"/>
              </w:rPr>
              <w:t xml:space="preserve">No evidence recorded yet</w:t>
            </w:r>
          </w:p>
          <w:p>
            <w:pPr>
              <w:spacing w:before="0" w:after="0"/>
            </w:pPr>
          </w:p>
        </w:tc>
        <w:tc>
          <w:tcPr>
            <w:tcW w:w="2409" w:type="dxa"/>
            <w:vAlign w:val="top"/>
          </w:tcPr>
          <w:p>
            <w:pPr>
              <w:spacing w:before="0" w:after="20"/>
            </w:pPr>
            <w:r>
              <w:rPr>
                <w:b/>
                <w:color w:val="566377"/>
                <w:sz w:val="17"/>
              </w:rPr>
              <w:t xml:space="preserve">Status</w:t>
            </w:r>
          </w:p>
          <w:p>
            <w:pPr>
              <w:spacing w:before="0" w:after="20"/>
            </w:pPr>
            <w:r>
              <w:rPr>
                <w:b/>
                <w:sz w:val="24"/>
              </w:rPr>
              <w:t xml:space="preserve">Unclaimed profile</w:t>
            </w:r>
          </w:p>
          <w:p>
            <w:pPr>
              <w:spacing w:before="0" w:after="0"/>
            </w:pPr>
          </w:p>
        </w:tc>
      </w:tr>
    </w:tbl>
    <w:p>
      <w:pPr>
        <w:spacing w:before="0" w:after="60"/>
      </w:pPr>
    </w:p>
    <w:p>
      <w:pPr>
        <w:spacing w:before="0" w:after="40"/>
      </w:pPr>
      <w:r>
        <w:rPr>
          <w:b/>
          <w:color w:val="262578"/>
          <w:sz w:val="17"/>
        </w:rPr>
        <w:t xml:space="preserve">Brands Trust Score  </w:t>
      </w:r>
      <w:r>
        <w:rPr>
          <w:i/>
          <w:color w:val="566377"/>
          <w:sz w:val="17"/>
        </w:rPr>
        <w:t xml:space="preserve">A reputation measure built from approved reviews and evidence under a published methodology. It is not a measure of how complete a profile is, and payment never changes it.</w:t>
      </w:r>
    </w:p>
    <w:p>
      <w:pPr>
        <w:spacing w:before="0" w:after="40"/>
      </w:pPr>
      <w:r>
        <w:rPr>
          <w:b/>
          <w:color w:val="262578"/>
          <w:sz w:val="17"/>
        </w:rPr>
        <w:t xml:space="preserve">Profile Strength  </w:t>
      </w:r>
      <w:r>
        <w:rPr>
          <w:i/>
          <w:color w:val="566377"/>
          <w:sz w:val="17"/>
        </w:rPr>
        <w:t xml:space="preserve">How complete and well maintained the profile is. It does not change the Trust Score.</w:t>
      </w:r>
    </w:p>
    <w:p>
      <w:pPr>
        <w:spacing w:before="0" w:after="40"/>
      </w:pPr>
      <w:r>
        <w:rPr>
          <w:b/>
          <w:color w:val="262578"/>
          <w:sz w:val="17"/>
        </w:rPr>
        <w:t xml:space="preserve">Evidence coverage  </w:t>
      </w:r>
      <w:r>
        <w:rPr>
          <w:i/>
          <w:color w:val="566377"/>
          <w:sz w:val="17"/>
        </w:rPr>
        <w:t xml:space="preserve">How much of this profile is backed by recorded sources, and how independent they are.</w:t>
      </w:r>
    </w:p>
    <w:p>
      <w:pPr>
        <w:spacing w:before="0" w:after="40"/>
      </w:pPr>
      <w:r>
        <w:rPr>
          <w:b/>
          <w:color w:val="262578"/>
          <w:sz w:val="17"/>
        </w:rPr>
        <w:t xml:space="preserve">Status  </w:t>
      </w:r>
      <w:r>
        <w:rPr>
          <w:i/>
          <w:color w:val="566377"/>
          <w:sz w:val="17"/>
        </w:rPr>
        <w:t xml:space="preserve">No company representative has claimed this profile yet. It is compiled from public sources by Brands.Ng.</w:t>
      </w:r>
    </w:p>
    <w:p>
      <w:pPr>
        <w:pStyle w:val="Heading1"/>
        <w:keepNext/>
      </w:pPr>
      <w:r>
        <w:t xml:space="preserve">Brand identity</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9638"/>
      </w:tblGrid>
      <w:tr>
        <w:trPr>
          <w:cantSplit/>
        </w:trPr>
        <w:tc>
          <w:tcPr>
            <w:tcW w:w="9638" w:type="dxa"/>
            <w:shd w:val="clear" w:color="auto" w:fill="FFFFFF"/>
            <w:vAlign w:val="center"/>
          </w:tcPr>
          <w:p>
            <w:pPr>
              <w:spacing w:before="60" w:after="60"/>
              <w:jc w:val="center"/>
            </w:pPr>
            <w:r>
              <w:drawing>
                <wp:inline distT="0" distB="0" distL="0" distR="0">
                  <wp:extent cx="864000" cy="864000"/>
                  <wp:docPr id="3" name="Picture 3" descr="Primary logo"/>
                  <wp:cNvGraphicFramePr>
                    <a:graphicFrameLocks noChangeAspect="1"/>
                  </wp:cNvGraphicFramePr>
                  <a:graphic>
                    <a:graphicData uri="http://schemas.openxmlformats.org/drawingml/2006/picture">
                      <pic:pic>
                        <pic:nvPicPr>
                          <pic:cNvPr id="3" name="image2.png" descr="Primary logo"/>
                          <pic:cNvPicPr/>
                        </pic:nvPicPr>
                        <pic:blipFill>
                          <a:blip r:embed="rId13"/>
                          <a:stretch>
                            <a:fillRect/>
                          </a:stretch>
                        </pic:blipFill>
                        <pic:spPr>
                          <a:xfrm>
                            <a:off x="0" y="0"/>
                            <a:ext cx="864000" cy="864000"/>
                          </a:xfrm>
                          <a:prstGeom prst="rect">
                            <a:avLst/>
                          </a:prstGeom>
                        </pic:spPr>
                      </pic:pic>
                    </a:graphicData>
                  </a:graphic>
                </wp:inline>
              </w:drawing>
            </w:r>
          </w:p>
          <w:p>
            <w:pPr>
              <w:spacing w:before="0" w:after="0"/>
              <w:jc w:val="center"/>
            </w:pPr>
            <w:r>
              <w:rPr>
                <w:color w:val="566377"/>
                <w:sz w:val="16"/>
              </w:rPr>
              <w:t xml:space="preserve">Primary logo</w:t>
            </w:r>
          </w:p>
        </w:tc>
      </w:tr>
    </w:tbl>
    <w:p>
      <w:pPr>
        <w:spacing w:before="0" w:after="60"/>
      </w:pPr>
    </w:p>
    <w:p>
      <w:pPr>
        <w:pStyle w:val="Heading1"/>
        <w:keepNext/>
      </w:pPr>
      <w:r>
        <w:t xml:space="preserve">Products and services</w:t>
      </w:r>
    </w:p>
    <w:p>
      <w:pPr>
        <w:spacing w:before="0" w:after="30"/>
        <w:ind w:left="120"/>
      </w:pPr>
      <w:r>
        <w:t xml:space="preserve">•  Residential mortgage origination</w:t>
      </w:r>
    </w:p>
    <w:p>
      <w:pPr>
        <w:spacing w:before="0" w:after="30"/>
        <w:ind w:left="120"/>
      </w:pPr>
      <w:r>
        <w:t xml:space="preserve">•  retail deposit mobilisation</w:t>
      </w:r>
    </w:p>
    <w:p>
      <w:pPr>
        <w:spacing w:before="0" w:after="30"/>
        <w:ind w:left="120"/>
      </w:pPr>
      <w:r>
        <w:t xml:space="preserve">•  and NHF-backed housing finance</w:t>
      </w:r>
    </w:p>
    <w:p>
      <w:pPr>
        <w:spacing w:before="40" w:after="0"/>
      </w:pPr>
      <w:r>
        <w:rPr>
          <w:i/>
          <w:color w:val="566377"/>
          <w:sz w:val="17"/>
        </w:rPr>
        <w:t xml:space="preserve">Listed in the company profile.</w:t>
      </w:r>
    </w:p>
    <w:p>
      <w:pPr>
        <w:pStyle w:val="Heading1"/>
        <w:keepNext/>
      </w:pPr>
      <w:r>
        <w:t xml:space="preserve">Media, contacts and social</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65 Adeniyi Jones Avenue, Ikeja, Lagos</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4">
              <w:r>
                <w:rPr>
                  <w:rStyle w:val="Hyperlink"/>
                </w:rPr>
                <w:t xml:space="preserve">https://jubileelifeng.com/</w:t>
              </w:r>
            </w:hyperlink>
          </w:p>
        </w:tc>
      </w:tr>
    </w:tbl>
    <w:p>
      <w:pPr>
        <w:spacing w:before="0" w:after="60"/>
      </w:pPr>
    </w:p>
    <w:p>
      <w:pPr>
        <w:pStyle w:val="Heading1"/>
        <w:keepNext/>
      </w:pPr>
      <w:r>
        <w:t xml:space="preserve">About this document</w:t>
      </w:r>
    </w:p>
    <w:p>
      <w:pPr>
        <w:shd w:val="clear" w:color="auto" w:fill="F7F9FC"/>
        <w:spacing w:before="0" w:after="40"/>
        <w:ind w:left="80"/>
      </w:pPr>
      <w:r>
        <w:rPr>
          <w:sz w:val="18"/>
        </w:rPr>
        <w:t xml:space="preserve">Generated on 24 October 2026 from the Brands.Ng Brand Passport.</w:t>
      </w:r>
    </w:p>
    <w:p>
      <w:pPr>
        <w:shd w:val="clear" w:color="auto" w:fill="F7F9FC"/>
        <w:spacing w:before="0" w:after="40"/>
        <w:ind w:left="80"/>
      </w:pPr>
      <w:r>
        <w:rPr>
          <w:sz w:val="18"/>
        </w:rPr>
        <w:t xml:space="preserve">It contains only published, sourced information and may have changed since. Check the linked sources before relying on a fact.</w:t>
      </w:r>
    </w:p>
    <w:p>
      <w:pPr>
        <w:shd w:val="clear" w:color="auto" w:fill="F7F9FC"/>
        <w:spacing w:before="0" w:after="40"/>
        <w:ind w:left="80"/>
      </w:pPr>
      <w:r>
        <w:rPr>
          <w:sz w:val="18"/>
        </w:rPr>
        <w:t xml:space="preserve">"Verified" means Brands.Ng has verified the company through its own review process. It is not a government certification and does not guarantee every statement.</w:t>
      </w:r>
    </w:p>
    <w:p>
      <w:pPr>
        <w:shd w:val="clear" w:color="auto" w:fill="F7F9FC"/>
        <w:spacing w:before="0" w:after="120"/>
        <w:ind w:left="80"/>
      </w:pPr>
      <w:r>
        <w:rPr>
          <w:b/>
          <w:color w:val="566377"/>
          <w:sz w:val="18"/>
        </w:rPr>
        <w:t xml:space="preserve">Live profile:  </w:t>
      </w:r>
      <w:hyperlink r:id="rId15">
        <w:r>
          <w:rPr>
            <w:rStyle w:val="Hyperlink"/>
          </w:rPr>
          <w:t xml:space="preserve">https://brands.ng/companies/jubilee-life-mortgage-bank/</w:t>
        </w:r>
      </w:hyperlink>
    </w:p>
    <w:p>
      <w:pPr>
        <w:keepNext/>
        <w:spacing w:before="60" w:after="40"/>
      </w:pPr>
      <w:r>
        <w:rPr>
          <w:b/>
          <w:caps/>
          <w:color w:val="566377"/>
          <w:sz w:val="16"/>
        </w:rPr>
        <w:t xml:space="preserve">How to read the source labels</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300"/>
        <w:gridCol w:w="6338"/>
      </w:tblGrid>
      <w:tr>
        <w:trPr>
          <w:cantSplit/>
        </w:trPr>
        <w:tc>
          <w:tcPr>
            <w:tcW w:w="3300" w:type="dxa"/>
            <w:vAlign w:val="top"/>
          </w:tcPr>
          <w:p>
            <w:pPr>
              <w:spacing w:before="0" w:after="0"/>
            </w:pPr>
            <w:r>
              <w:rPr>
                <w:b/>
                <w:color w:val="262578"/>
                <w:sz w:val="18"/>
              </w:rPr>
              <w:t xml:space="preserve">Company-confirmed</w:t>
            </w:r>
          </w:p>
        </w:tc>
        <w:tc>
          <w:tcPr>
            <w:tcW w:w="6338" w:type="dxa"/>
            <w:vAlign w:val="top"/>
          </w:tcPr>
          <w:p>
            <w:pPr>
              <w:spacing w:before="0" w:after="0"/>
            </w:pPr>
            <w:r>
              <w:rPr>
                <w:color w:val="566377"/>
                <w:sz w:val="18"/>
              </w:rPr>
              <w:t xml:space="preserve">Supplied by an authorised company representative and approved by Brands.Ng.</w:t>
            </w:r>
          </w:p>
        </w:tc>
      </w:tr>
      <w:tr>
        <w:trPr>
          <w:cantSplit/>
        </w:trPr>
        <w:tc>
          <w:tcPr>
            <w:tcW w:w="3300" w:type="dxa"/>
            <w:vAlign w:val="top"/>
          </w:tcPr>
          <w:p>
            <w:pPr>
              <w:spacing w:before="0" w:after="0"/>
            </w:pPr>
            <w:r>
              <w:rPr>
                <w:b/>
                <w:color w:val="262578"/>
                <w:sz w:val="18"/>
              </w:rPr>
              <w:t xml:space="preserve">Publicly documented</w:t>
            </w:r>
          </w:p>
        </w:tc>
        <w:tc>
          <w:tcPr>
            <w:tcW w:w="6338" w:type="dxa"/>
            <w:vAlign w:val="top"/>
          </w:tcPr>
          <w:p>
            <w:pPr>
              <w:spacing w:before="0" w:after="0"/>
            </w:pPr>
            <w:r>
              <w:rPr>
                <w:color w:val="566377"/>
                <w:sz w:val="18"/>
              </w:rPr>
              <w:t xml:space="preserve">Backed by a regulator or other primary record.</w:t>
            </w:r>
          </w:p>
        </w:tc>
      </w:tr>
      <w:tr>
        <w:trPr>
          <w:cantSplit/>
        </w:trPr>
        <w:tc>
          <w:tcPr>
            <w:tcW w:w="3300" w:type="dxa"/>
            <w:vAlign w:val="top"/>
          </w:tcPr>
          <w:p>
            <w:pPr>
              <w:spacing w:before="0" w:after="0"/>
            </w:pPr>
            <w:r>
              <w:rPr>
                <w:b/>
                <w:color w:val="262578"/>
                <w:sz w:val="18"/>
              </w:rPr>
              <w:t xml:space="preserve">Reported by independent source</w:t>
            </w:r>
          </w:p>
        </w:tc>
        <w:tc>
          <w:tcPr>
            <w:tcW w:w="6338" w:type="dxa"/>
            <w:vAlign w:val="top"/>
          </w:tcPr>
          <w:p>
            <w:pPr>
              <w:spacing w:before="0" w:after="0"/>
            </w:pPr>
            <w:r>
              <w:rPr>
                <w:color w:val="566377"/>
                <w:sz w:val="18"/>
              </w:rPr>
              <w:t xml:space="preserve">Reported by a publication that is not the company.</w:t>
            </w:r>
          </w:p>
        </w:tc>
      </w:tr>
      <w:tr>
        <w:trPr>
          <w:cantSplit/>
        </w:trPr>
        <w:tc>
          <w:tcPr>
            <w:tcW w:w="3300" w:type="dxa"/>
            <w:vAlign w:val="top"/>
          </w:tcPr>
          <w:p>
            <w:pPr>
              <w:spacing w:before="0" w:after="0"/>
            </w:pPr>
            <w:r>
              <w:rPr>
                <w:b/>
                <w:color w:val="262578"/>
                <w:sz w:val="18"/>
              </w:rPr>
              <w:t xml:space="preserve">Brands.Ng research</w:t>
            </w:r>
          </w:p>
        </w:tc>
        <w:tc>
          <w:tcPr>
            <w:tcW w:w="6338" w:type="dxa"/>
            <w:vAlign w:val="top"/>
          </w:tcPr>
          <w:p>
            <w:pPr>
              <w:spacing w:before="0" w:after="0"/>
            </w:pPr>
            <w:r>
              <w:rPr>
                <w:color w:val="566377"/>
                <w:sz w:val="18"/>
              </w:rPr>
              <w:t xml:space="preserve">Compiled by Brands.Ng editors; never counted as independent corroboration.</w:t>
            </w:r>
          </w:p>
        </w:tc>
      </w:tr>
      <w:tr>
        <w:trPr>
          <w:cantSplit/>
        </w:trPr>
        <w:tc>
          <w:tcPr>
            <w:tcW w:w="3300" w:type="dxa"/>
            <w:vAlign w:val="top"/>
          </w:tcPr>
          <w:p>
            <w:pPr>
              <w:spacing w:before="0" w:after="0"/>
            </w:pPr>
            <w:r>
              <w:rPr>
                <w:b/>
                <w:color w:val="262578"/>
                <w:sz w:val="18"/>
              </w:rPr>
              <w:t xml:space="preserve">Not publicly verified</w:t>
            </w:r>
          </w:p>
        </w:tc>
        <w:tc>
          <w:tcPr>
            <w:tcW w:w="6338" w:type="dxa"/>
            <w:vAlign w:val="top"/>
          </w:tcPr>
          <w:p>
            <w:pPr>
              <w:spacing w:before="0" w:after="0"/>
            </w:pPr>
            <w:r>
              <w:rPr>
                <w:color w:val="566377"/>
                <w:sz w:val="18"/>
              </w:rPr>
              <w:t xml:space="preserve">No source yet. It is left blank rather than guessed.</w:t>
            </w:r>
          </w:p>
        </w:tc>
      </w:tr>
    </w:tbl>
    <w:p>
      <w:pPr>
        <w:spacing w:before="0" w:after="60"/>
      </w:pP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E3E8F1"/>
      </w:pBdr>
      <w:tabs>
        <w:tab w:val="right" w:pos="9638"/>
      </w:tabs>
    </w:pPr>
    <w:r>
      <w:rPr>
        <w:color w:val="566377"/>
        <w:sz w:val="16"/>
      </w:rPr>
      <w:t xml:space="preserve">Brands.Ng Brand Passport  |  Jubilee-Life Mortgage Bank</w:t>
    </w:r>
    <w:r>
      <w:tab/>
    </w:r>
    <w:r>
      <w:rPr>
        <w:color w:val="566377"/>
        <w:sz w:val="16"/>
      </w:rPr>
      <w:t xml:space="preserve">Page </w:t>
    </w:r>
    <w:r>
      <w:rPr>
        <w:color w:val="566377"/>
        <w:sz w:val="16"/>
      </w:rPr>
      <w:fldChar w:fldCharType="begin"/>
    </w:r>
    <w:r>
      <w:rPr>
        <w:color w:val="566377"/>
        <w:sz w:val="16"/>
      </w:rPr>
      <w:instrText xml:space="preserve"> PAGE </w:instrText>
    </w:r>
    <w:r>
      <w:rPr>
        <w:color w:val="566377"/>
        <w:sz w:val="16"/>
      </w:rPr>
      <w:fldChar w:fldCharType="separate"/>
    </w:r>
    <w:r>
      <w:rPr>
        <w:color w:val="566377"/>
        <w:sz w:val="16"/>
      </w:rPr>
      <w:t>1</w:t>
    </w:r>
    <w:r>
      <w:rPr>
        <w:color w:val="566377"/>
        <w:sz w:val="16"/>
      </w:rPr>
      <w:fldChar w:fldCharType="end"/>
    </w:r>
    <w:r>
      <w:rPr>
        <w:color w:val="566377"/>
        <w:sz w:val="16"/>
      </w:rPr>
      <w:t xml:space="preserve"> of </w:t>
    </w:r>
    <w:r>
      <w:rPr>
        <w:color w:val="566377"/>
        <w:sz w:val="16"/>
      </w:rPr>
      <w:fldChar w:fldCharType="begin"/>
    </w:r>
    <w:r>
      <w:rPr>
        <w:color w:val="566377"/>
        <w:sz w:val="16"/>
      </w:rPr>
      <w:instrText xml:space="preserve"> NUMPAGES </w:instrText>
    </w:r>
    <w:r>
      <w:rPr>
        <w:color w:val="566377"/>
        <w:sz w:val="16"/>
      </w:rPr>
      <w:fldChar w:fldCharType="separate"/>
    </w:r>
    <w:r>
      <w:rPr>
        <w:color w:val="566377"/>
        <w:sz w:val="16"/>
      </w:rPr>
      <w:t>1</w:t>
    </w:r>
    <w:r>
      <w:rPr>
        <w:color w:val="566377"/>
        <w:sz w:val="16"/>
      </w:rPr>
      <w:fldChar w:fldCharType="end"/>
    </w:r>
  </w:p>
</w:ftr>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eastAsia="Calibri" w:cs="Calibri"/>
        <w:color w:val="0F172A"/>
        <w:sz w:val="21"/>
        <w:szCs w:val="21"/>
        <w:lang w:val="en-GB"/>
      </w:rPr>
    </w:rPrDefault>
    <w:pPrDefault>
      <w:pPr>
        <w:spacing w:after="80" w:line="264" w:lineRule="auto"/>
      </w:pPr>
    </w:pPrDefault>
  </w:docDefaults>
  <w:style w:type="paragraph" w:default="1" w:styleId="Normal">
    <w:name w:val="Normal"/>
    <w:qFormat/>
  </w:style>
  <w:style w:type="paragraph" w:styleId="Heading1">
    <w:name w:val="heading 1"/>
    <w:basedOn w:val="Normal"/>
    <w:next w:val="Normal"/>
    <w:qFormat/>
    <w:pPr>
      <w:keepNext/>
      <w:pBdr>
        <w:bottom w:val="single" w:sz="6" w:space="3" w:color="262578"/>
      </w:pBdr>
      <w:spacing w:before="320" w:after="140"/>
      <w:outlineLvl w:val="0"/>
    </w:pPr>
    <w:rPr>
      <w:b/>
      <w:color w:val="262578"/>
      <w:sz w:val="28"/>
      <w:szCs w:val="28"/>
    </w:rPr>
  </w:style>
  <w:style w:type="character" w:styleId="Hyperlink">
    <w:name w:val="Hyperlink"/>
    <w:rPr>
      <w:color w:val="1D4ED8"/>
      <w:u w:val="single"/>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3" Type="http://schemas.openxmlformats.org/officeDocument/2006/relationships/footer" Target="footer1.xml"/><Relationship Id="rId12" Type="http://schemas.openxmlformats.org/officeDocument/2006/relationships/hyperlink" Target="https://jubileelifeng.com/" TargetMode="External"/><Relationship Id="rId14" Type="http://schemas.openxmlformats.org/officeDocument/2006/relationships/hyperlink" Target="https://jubileelifeng.com/" TargetMode="External"/><Relationship Id="rId15" Type="http://schemas.openxmlformats.org/officeDocument/2006/relationships/hyperlink" Target="https://brands.ng/companies/jubilee-life-mortgage-bank/" TargetMode="External"/><Relationship Id="rId11" Type="http://schemas.openxmlformats.org/officeDocument/2006/relationships/image" Target="media/image1.png"/><Relationship Id="rId13" Type="http://schemas.openxmlformats.org/officeDocument/2006/relationships/image" Target="media/image2.png"/></Relationships>
</file>

<file path=docProps/app.xml><?xml version="1.0" encoding="utf-8"?>
<Properties xmlns="http://schemas.openxmlformats.org/officeDocument/2006/extended-properties">
  <Application>Brands.Ng Brand Passport</Application>
</Properties>
</file>

<file path=docProps/core.xml><?xml version="1.0" encoding="utf-8"?>
<cp:coreProperties xmlns:cp="http://schemas.openxmlformats.org/package/2006/metadata/core-properties" xmlns:dc="http://purl.org/dc/elements/1.1/" xmlns:dcterms="http://purl.org/dc/terms/" xmlns:xsi="http://www.w3.org/2001/XMLSchema-instance">
  <dc:title>Jubilee-Life Mortgage Bank - Brand Profile</dc:title>
  <dc:subject>Brand profile of Jubilee-Life Mortgage Bank</dc:subject>
  <dc:creator>Brands.Ng</dc:creator>
  <dcterms:created xsi:type="dcterms:W3CDTF">2026-10-24T20:52:31Z</dcterms:created>
</cp:coreProperties>
</file>