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Borders>
          <w:top w:val="nil"/>
          <w:left w:val="nil"/>
          <w:bottom w:val="nil"/>
          <w:right w:val="nil"/>
          <w:insideH w:val="nil"/>
          <w:insideV w:val="nil"/>
        </w:tblBorders>
        <w:tblLayout w:type="fixed"/>
        <w:tblCellMar>
          <w:top w:w="70" w:type="dxa"/>
          <w:left w:w="110" w:type="dxa"/>
          <w:bottom w:w="70" w:type="dxa"/>
          <w:right w:w="110" w:type="dxa"/>
        </w:tblCellMar>
      </w:tblPr>
      <w:tblGrid>
        <w:gridCol w:w="200"/>
        <w:gridCol w:w="2200"/>
        <w:gridCol w:w="7238"/>
      </w:tblGrid>
      <w:tr>
        <w:tc>
          <w:tcPr>
            <w:tcW w:w="200" w:type="dxa"/>
            <w:shd w:val="clear" w:color="auto" w:fill="262578"/>
            <w:vAlign w:val="center"/>
          </w:tcPr>
          <w:p/>
        </w:tc>
        <w:tc>
          <w:tcPr>
            <w:tcW w:w="2200" w:type="dxa"/>
            <w:shd w:val="clear" w:color="auto" w:fill="FFFFFF"/>
            <w:vAlign w:val="center"/>
          </w:tcPr>
          <w:p>
            <w:pPr>
              <w:spacing w:before="120" w:after="120"/>
              <w:jc w:val="center"/>
            </w:pPr>
            <w:r>
              <w:drawing>
                <wp:inline distT="0" distB="0" distL="0" distR="0">
                  <wp:extent cx="1008000" cy="1008000"/>
                  <wp:docPr id="2" name="Picture 2" descr="Imperial Homes Mortgage Bank logo"/>
                  <wp:cNvGraphicFramePr>
                    <a:graphicFrameLocks noChangeAspect="1"/>
                  </wp:cNvGraphicFramePr>
                  <a:graphic>
                    <a:graphicData uri="http://schemas.openxmlformats.org/drawingml/2006/picture">
                      <pic:pic>
                        <pic:nvPicPr>
                          <pic:cNvPr id="2" name="image1.png" descr="Imperial Homes Mortgage Bank logo"/>
                          <pic:cNvPicPr/>
                        </pic:nvPicPr>
                        <pic:blipFill>
                          <a:blip r:embed="rId11"/>
                          <a:stretch>
                            <a:fillRect/>
                          </a:stretch>
                        </pic:blipFill>
                        <pic:spPr>
                          <a:xfrm>
                            <a:off x="0" y="0"/>
                            <a:ext cx="1008000" cy="1008000"/>
                          </a:xfrm>
                          <a:prstGeom prst="rect">
                            <a:avLst/>
                          </a:prstGeom>
                        </pic:spPr>
                      </pic:pic>
                    </a:graphicData>
                  </a:graphic>
                </wp:inline>
              </w:drawing>
            </w:r>
          </w:p>
        </w:tc>
        <w:tc>
          <w:tcPr>
            <w:tcW w:w="7238" w:type="dxa"/>
            <w:shd w:val="clear" w:color="auto" w:fill="262578"/>
            <w:vAlign w:val="center"/>
          </w:tcPr>
          <w:p>
            <w:pPr>
              <w:spacing w:before="0" w:after="40"/>
            </w:pPr>
            <w:r>
              <w:rPr>
                <w:b/>
                <w:color w:val="FFFFFF"/>
                <w:sz w:val="48"/>
              </w:rPr>
              <w:t xml:space="preserve">Imperial Homes Mortgage Bank</w:t>
            </w:r>
          </w:p>
          <w:p>
            <w:pPr>
              <w:spacing w:before="80" w:after="0"/>
            </w:pPr>
            <w:r>
              <w:rPr>
                <w:b/>
                <w:color w:val="FFFFFF"/>
                <w:sz w:val="18"/>
              </w:rPr>
              <w:t xml:space="preserve">Unclaimed profile   |   Banking, Finance, Investments   |   Nigeria</w:t>
            </w:r>
          </w:p>
        </w:tc>
      </w:tr>
    </w:tbl>
    <w:p>
      <w:pPr>
        <w:spacing w:before="0" w:after="60"/>
      </w:pP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sz w:val="30"/>
              </w:rPr>
              <w:t xml:space="preserve">Banking, Finance, Investments</w:t>
            </w:r>
          </w:p>
          <w:p>
            <w:pPr>
              <w:spacing w:before="0" w:after="0"/>
            </w:pPr>
            <w:r>
              <w:rPr>
                <w:color w:val="566377"/>
                <w:sz w:val="17"/>
              </w:rPr>
              <w:t xml:space="preserve">Industry</w:t>
            </w:r>
          </w:p>
        </w:tc>
        <w:tc>
          <w:tcPr>
            <w:tcW w:w="2409" w:type="dxa"/>
            <w:vAlign w:val="top"/>
          </w:tcPr>
          <w:p>
            <w:pPr>
              <w:spacing w:before="0" w:after="20"/>
            </w:pPr>
            <w:r>
              <w:rPr>
                <w:b/>
                <w:sz w:val="30"/>
              </w:rPr>
              <w:t xml:space="preserve">Nigeria</w:t>
            </w:r>
          </w:p>
          <w:p>
            <w:pPr>
              <w:spacing w:before="0" w:after="0"/>
            </w:pPr>
            <w:r>
              <w:rPr>
                <w:color w:val="566377"/>
                <w:sz w:val="17"/>
              </w:rPr>
              <w:t xml:space="preserve">Country</w:t>
            </w:r>
          </w:p>
        </w:tc>
        <w:tc>
          <w:tcPr>
            <w:tcW w:w="2409" w:type="dxa"/>
            <w:vAlign w:val="top"/>
          </w:tcPr>
          <w:p>
            <w:pPr>
              <w:spacing w:before="0" w:after="20"/>
            </w:pPr>
            <w:r>
              <w:rPr>
                <w:b/>
                <w:sz w:val="30"/>
              </w:rPr>
              <w:t xml:space="preserve">Lagos</w:t>
            </w:r>
          </w:p>
          <w:p>
            <w:pPr>
              <w:spacing w:before="0" w:after="0"/>
            </w:pPr>
            <w:r>
              <w:rPr>
                <w:color w:val="566377"/>
                <w:sz w:val="17"/>
              </w:rPr>
              <w:t xml:space="preserve">Head office</w:t>
            </w:r>
          </w:p>
        </w:tc>
        <w:tc>
          <w:tcPr>
            <w:tcW w:w="2409" w:type="dxa"/>
            <w:vAlign w:val="top"/>
          </w:tcPr>
          <w:p>
            <w:pPr>
              <w:spacing w:before="0" w:after="20"/>
            </w:pPr>
            <w:r>
              <w:rPr>
                <w:b/>
                <w:sz w:val="30"/>
              </w:rPr>
              <w:t xml:space="preserve">2013</w:t>
            </w:r>
          </w:p>
          <w:p>
            <w:pPr>
              <w:spacing w:before="0" w:after="0"/>
            </w:pPr>
            <w:r>
              <w:rPr>
                <w:color w:val="566377"/>
                <w:sz w:val="17"/>
              </w:rPr>
              <w:t xml:space="preserve">Founded</w:t>
            </w:r>
          </w:p>
        </w:tc>
      </w:tr>
    </w:tbl>
    <w:p>
      <w:pPr>
        <w:spacing w:before="0" w:after="60"/>
      </w:pPr>
    </w:p>
    <w:p>
      <w:pPr>
        <w:pStyle w:val="Heading1"/>
        <w:keepNext/>
      </w:pPr>
      <w:r>
        <w:t xml:space="preserve">Key information</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Industry</w:t>
            </w:r>
          </w:p>
        </w:tc>
        <w:tc>
          <w:tcPr>
            <w:tcW w:w="7238" w:type="dxa"/>
            <w:vAlign w:val="top"/>
          </w:tcPr>
          <w:p>
            <w:pPr>
              <w:spacing w:before="0" w:after="0"/>
            </w:pPr>
            <w:r>
              <w:rPr>
                <w:b/>
              </w:rPr>
              <w:t xml:space="preserve">Banking, Finance, Investments</w:t>
            </w:r>
          </w:p>
        </w:tc>
      </w:tr>
      <w:tr>
        <w:trPr>
          <w:cantSplit/>
        </w:trPr>
        <w:tc>
          <w:tcPr>
            <w:tcW w:w="2400" w:type="dxa"/>
            <w:shd w:val="clear" w:color="auto" w:fill="F7F9FC"/>
            <w:vAlign w:val="top"/>
          </w:tcPr>
          <w:p>
            <w:pPr>
              <w:spacing w:before="0" w:after="0"/>
            </w:pPr>
            <w:r>
              <w:rPr>
                <w:color w:val="566377"/>
                <w:sz w:val="19"/>
              </w:rPr>
              <w:t xml:space="preserve">Country</w:t>
            </w:r>
          </w:p>
        </w:tc>
        <w:tc>
          <w:tcPr>
            <w:tcW w:w="7238" w:type="dxa"/>
            <w:vAlign w:val="top"/>
          </w:tcPr>
          <w:p>
            <w:pPr>
              <w:spacing w:before="0" w:after="0"/>
            </w:pPr>
            <w:r>
              <w:rPr>
                <w:b/>
              </w:rPr>
              <w:t xml:space="preserve">Nigeria</w:t>
            </w:r>
          </w:p>
        </w:tc>
      </w:tr>
      <w:tr>
        <w:trPr>
          <w:cantSplit/>
        </w:trPr>
        <w:tc>
          <w:tcPr>
            <w:tcW w:w="2400" w:type="dxa"/>
            <w:shd w:val="clear" w:color="auto" w:fill="F7F9FC"/>
            <w:vAlign w:val="top"/>
          </w:tcPr>
          <w:p>
            <w:pPr>
              <w:spacing w:before="0" w:after="0"/>
            </w:pPr>
            <w:r>
              <w:rPr>
                <w:color w:val="566377"/>
                <w:sz w:val="19"/>
              </w:rPr>
              <w:t xml:space="preserve">Founded</w:t>
            </w:r>
          </w:p>
        </w:tc>
        <w:tc>
          <w:tcPr>
            <w:tcW w:w="7238" w:type="dxa"/>
            <w:vAlign w:val="top"/>
          </w:tcPr>
          <w:p>
            <w:pPr>
              <w:spacing w:before="0" w:after="0"/>
            </w:pPr>
            <w:r>
              <w:rPr>
                <w:b/>
              </w:rPr>
              <w:t xml:space="preserve">2013</w:t>
            </w:r>
          </w:p>
        </w:tc>
      </w:tr>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Lagos</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2">
              <w:r>
                <w:rPr>
                  <w:rStyle w:val="Hyperlink"/>
                </w:rPr>
                <w:t xml:space="preserve">imperialmortgagebank.com</w:t>
              </w:r>
            </w:hyperlink>
          </w:p>
        </w:tc>
      </w:tr>
      <w:tr>
        <w:trPr>
          <w:cantSplit/>
        </w:trPr>
        <w:tc>
          <w:tcPr>
            <w:tcW w:w="2400" w:type="dxa"/>
            <w:shd w:val="clear" w:color="auto" w:fill="F7F9FC"/>
            <w:vAlign w:val="top"/>
          </w:tcPr>
          <w:p>
            <w:pPr>
              <w:spacing w:before="0" w:after="0"/>
            </w:pPr>
            <w:r>
              <w:rPr>
                <w:color w:val="566377"/>
                <w:sz w:val="19"/>
              </w:rPr>
              <w:t xml:space="preserve">Employees</w:t>
            </w:r>
          </w:p>
        </w:tc>
        <w:tc>
          <w:tcPr>
            <w:tcW w:w="7238" w:type="dxa"/>
            <w:vAlign w:val="top"/>
          </w:tcPr>
          <w:p>
            <w:pPr>
              <w:spacing w:before="0" w:after="0"/>
            </w:pPr>
            <w:r>
              <w:rPr>
                <w:b/>
              </w:rPr>
              <w:t xml:space="preserve">100+</w:t>
            </w:r>
          </w:p>
        </w:tc>
      </w:tr>
    </w:tbl>
    <w:p>
      <w:pPr>
        <w:spacing w:before="0" w:after="60"/>
      </w:pPr>
    </w:p>
    <w:p>
      <w:pPr>
        <w:pStyle w:val="Heading1"/>
        <w:keepNext/>
      </w:pPr>
      <w:r>
        <w:t xml:space="preserve">About</w:t>
      </w:r>
    </w:p>
    <w:p>
      <w:pPr>
        <w:spacing w:before="0" w:after="100"/>
      </w:pPr>
      <w:r>
        <w:t xml:space="preserve">Imperial Homes Mortgage Bank Limited is a Nigerian Primary Mortgage Bank that provides mortgage lending, housing finance, savings, deposits, loans, advances, and real-estate services. The institution is licensed by the Central Bank of Nigeria to conduct mortgage banking and related activities, and its operations are focused on helping individuals, professionals, workers, corporate organisations, and cooperative societies access formal housing finance.</w:t>
      </w:r>
    </w:p>
    <w:p>
      <w:pPr>
        <w:spacing w:before="0" w:after="100"/>
      </w:pPr>
      <w:r>
        <w:t xml:space="preserve">Although some profiles identify 2013 as the year Imperial Homes entered the mortgage-banking sector, the bank’s official history traces its origins to 1992, when it was incorporated as Citizens Savings and Loans Limited. This distinction is important: 1992 refers to the original incorporation of the institution, while later regulatory and corporate changes shaped the current Imperial Homes Mortgage Bank structure.</w:t>
      </w:r>
    </w:p>
    <w:p>
      <w:pPr>
        <w:spacing w:before="0" w:after="100"/>
      </w:pPr>
      <w:r>
        <w:t xml:space="preserve">The bank’s core business is residential mortgage origination. Its mortgage products cover the purchase of completed homes, construction, renovation, refinancing, and other housing-related needs. These facilities are designed to help eligible customers spread the cost of home ownership over an extended period, subject to income, property value, documentation, credit assessment, and repayment requirements.</w:t>
      </w:r>
    </w:p>
    <w:p>
      <w:pPr>
        <w:spacing w:before="0" w:after="100"/>
      </w:pPr>
      <w:r>
        <w:t xml:space="preserve">Imperial Homes also participates in the National Housing Fund mortgage system. Through its NHF mortgage product, eligible contributors can apply for financing to purchase, build, improve, or renovate a home. The bank also offers bridge finance for qualified applicants who are waiting for the processing of an NHF mortgage facility. Under the Federal Mortgage Bank of Nigeria’s NHF framework, loans are provided through accredited Primary Mortgage Banks and may have long repayment tenors, subject to the applicable rules and limits.</w:t>
      </w:r>
    </w:p>
    <w:p>
      <w:pPr>
        <w:shd w:val="clear" w:color="auto" w:fill="E5E5EF"/>
        <w:spacing w:before="80" w:after="120"/>
        <w:ind w:left="120"/>
      </w:pPr>
      <w:r>
        <w:rPr>
          <w:b/>
        </w:rPr>
        <w:t xml:space="preserve">To make homeownership accessible and achievable for middle-income Nigerian families.</w:t>
      </w:r>
      <w:r>
        <w:rPr>
          <w:i/>
          <w:color w:val="566377"/>
          <w:sz w:val="17"/>
        </w:rPr>
        <w:t xml:space="preserve">   Mission statement</w:t>
      </w:r>
    </w:p>
    <w:p>
      <w:pPr>
        <w:pStyle w:val="Heading1"/>
        <w:keepNext/>
      </w:pPr>
      <w:r>
        <w:t xml:space="preserve">Trust and reputation measures</w:t>
      </w: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color w:val="566377"/>
                <w:sz w:val="17"/>
              </w:rPr>
              <w:t xml:space="preserve">Trust Score</w:t>
            </w:r>
          </w:p>
          <w:p>
            <w:pPr>
              <w:spacing w:before="0" w:after="20"/>
            </w:pPr>
            <w:r>
              <w:rPr>
                <w:b/>
                <w:sz w:val="24"/>
              </w:rPr>
              <w:t xml:space="preserve">Not yet rated</w:t>
            </w:r>
          </w:p>
          <w:p>
            <w:pPr>
              <w:spacing w:before="0" w:after="0"/>
            </w:pPr>
            <w:r>
              <w:rPr>
                <w:color w:val="566377"/>
                <w:sz w:val="17"/>
              </w:rPr>
              <w:t xml:space="preserve">Needs reviews and evidence</w:t>
            </w:r>
          </w:p>
        </w:tc>
        <w:tc>
          <w:tcPr>
            <w:tcW w:w="2409" w:type="dxa"/>
            <w:vAlign w:val="top"/>
          </w:tcPr>
          <w:p>
            <w:pPr>
              <w:spacing w:before="0" w:after="20"/>
            </w:pPr>
            <w:r>
              <w:rPr>
                <w:b/>
                <w:color w:val="566377"/>
                <w:sz w:val="17"/>
              </w:rPr>
              <w:t xml:space="preserve">Profile Strength</w:t>
            </w:r>
          </w:p>
          <w:p>
            <w:pPr>
              <w:spacing w:before="0" w:after="20"/>
            </w:pPr>
            <w:r>
              <w:rPr>
                <w:b/>
                <w:sz w:val="24"/>
              </w:rPr>
              <w:t xml:space="preserve">39/100</w:t>
            </w:r>
          </w:p>
          <w:p>
            <w:pPr>
              <w:spacing w:before="0" w:after="0"/>
            </w:pPr>
            <w:r>
              <w:rPr>
                <w:color w:val="566377"/>
                <w:sz w:val="17"/>
              </w:rPr>
              <w:t xml:space="preserve">Incomplete Profile</w:t>
            </w:r>
          </w:p>
        </w:tc>
        <w:tc>
          <w:tcPr>
            <w:tcW w:w="2409" w:type="dxa"/>
            <w:vAlign w:val="top"/>
          </w:tcPr>
          <w:p>
            <w:pPr>
              <w:spacing w:before="0" w:after="20"/>
            </w:pPr>
            <w:r>
              <w:rPr>
                <w:b/>
                <w:color w:val="566377"/>
                <w:sz w:val="17"/>
              </w:rPr>
              <w:t xml:space="preserve">Evidence</w:t>
            </w:r>
          </w:p>
          <w:p>
            <w:pPr>
              <w:spacing w:before="0" w:after="20"/>
            </w:pPr>
            <w:r>
              <w:rPr>
                <w:b/>
                <w:sz w:val="24"/>
              </w:rPr>
              <w:t xml:space="preserve">No evidence recorded yet</w:t>
            </w:r>
          </w:p>
          <w:p>
            <w:pPr>
              <w:spacing w:before="0" w:after="0"/>
            </w:pPr>
          </w:p>
        </w:tc>
        <w:tc>
          <w:tcPr>
            <w:tcW w:w="2409" w:type="dxa"/>
            <w:vAlign w:val="top"/>
          </w:tcPr>
          <w:p>
            <w:pPr>
              <w:spacing w:before="0" w:after="20"/>
            </w:pPr>
            <w:r>
              <w:rPr>
                <w:b/>
                <w:color w:val="566377"/>
                <w:sz w:val="17"/>
              </w:rPr>
              <w:t xml:space="preserve">Status</w:t>
            </w:r>
          </w:p>
          <w:p>
            <w:pPr>
              <w:spacing w:before="0" w:after="20"/>
            </w:pPr>
            <w:r>
              <w:rPr>
                <w:b/>
                <w:sz w:val="24"/>
              </w:rPr>
              <w:t xml:space="preserve">Unclaimed profile</w:t>
            </w:r>
          </w:p>
          <w:p>
            <w:pPr>
              <w:spacing w:before="0" w:after="0"/>
            </w:pPr>
          </w:p>
        </w:tc>
      </w:tr>
    </w:tbl>
    <w:p>
      <w:pPr>
        <w:spacing w:before="0" w:after="60"/>
      </w:pPr>
    </w:p>
    <w:p>
      <w:pPr>
        <w:spacing w:before="0" w:after="40"/>
      </w:pPr>
      <w:r>
        <w:rPr>
          <w:b/>
          <w:color w:val="262578"/>
          <w:sz w:val="17"/>
        </w:rPr>
        <w:t xml:space="preserve">Brands Trust Score  </w:t>
      </w:r>
      <w:r>
        <w:rPr>
          <w:i/>
          <w:color w:val="566377"/>
          <w:sz w:val="17"/>
        </w:rPr>
        <w:t xml:space="preserve">A reputation measure built from approved reviews and evidence under a published methodology. It is not a measure of how complete a profile is, and payment never changes it.</w:t>
      </w:r>
    </w:p>
    <w:p>
      <w:pPr>
        <w:spacing w:before="0" w:after="40"/>
      </w:pPr>
      <w:r>
        <w:rPr>
          <w:b/>
          <w:color w:val="262578"/>
          <w:sz w:val="17"/>
        </w:rPr>
        <w:t xml:space="preserve">Profile Strength  </w:t>
      </w:r>
      <w:r>
        <w:rPr>
          <w:i/>
          <w:color w:val="566377"/>
          <w:sz w:val="17"/>
        </w:rPr>
        <w:t xml:space="preserve">How complete and well maintained the profile is. It does not change the Trust Score.</w:t>
      </w:r>
    </w:p>
    <w:p>
      <w:pPr>
        <w:spacing w:before="0" w:after="40"/>
      </w:pPr>
      <w:r>
        <w:rPr>
          <w:b/>
          <w:color w:val="262578"/>
          <w:sz w:val="17"/>
        </w:rPr>
        <w:t xml:space="preserve">Evidence coverage  </w:t>
      </w:r>
      <w:r>
        <w:rPr>
          <w:i/>
          <w:color w:val="566377"/>
          <w:sz w:val="17"/>
        </w:rPr>
        <w:t xml:space="preserve">How much of this profile is backed by recorded sources, and how independent they are.</w:t>
      </w:r>
    </w:p>
    <w:p>
      <w:pPr>
        <w:spacing w:before="0" w:after="40"/>
      </w:pPr>
      <w:r>
        <w:rPr>
          <w:b/>
          <w:color w:val="262578"/>
          <w:sz w:val="17"/>
        </w:rPr>
        <w:t xml:space="preserve">Status  </w:t>
      </w:r>
      <w:r>
        <w:rPr>
          <w:i/>
          <w:color w:val="566377"/>
          <w:sz w:val="17"/>
        </w:rPr>
        <w:t xml:space="preserve">No company representative has claimed this profile yet. It is compiled from public sources by Brands.Ng.</w:t>
      </w:r>
    </w:p>
    <w:p>
      <w:pPr>
        <w:pStyle w:val="Heading1"/>
        <w:keepNext/>
      </w:pPr>
      <w:r>
        <w:t xml:space="preserve">Brand identity</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9638"/>
      </w:tblGrid>
      <w:tr>
        <w:trPr>
          <w:cantSplit/>
        </w:trPr>
        <w:tc>
          <w:tcPr>
            <w:tcW w:w="9638" w:type="dxa"/>
            <w:shd w:val="clear" w:color="auto" w:fill="FFFFFF"/>
            <w:vAlign w:val="center"/>
          </w:tcPr>
          <w:p>
            <w:pPr>
              <w:spacing w:before="60" w:after="60"/>
              <w:jc w:val="center"/>
            </w:pPr>
            <w:r>
              <w:drawing>
                <wp:inline distT="0" distB="0" distL="0" distR="0">
                  <wp:extent cx="864000" cy="864000"/>
                  <wp:docPr id="3" name="Picture 3" descr="Primary logo"/>
                  <wp:cNvGraphicFramePr>
                    <a:graphicFrameLocks noChangeAspect="1"/>
                  </wp:cNvGraphicFramePr>
                  <a:graphic>
                    <a:graphicData uri="http://schemas.openxmlformats.org/drawingml/2006/picture">
                      <pic:pic>
                        <pic:nvPicPr>
                          <pic:cNvPr id="3" name="image2.png" descr="Primary logo"/>
                          <pic:cNvPicPr/>
                        </pic:nvPicPr>
                        <pic:blipFill>
                          <a:blip r:embed="rId13"/>
                          <a:stretch>
                            <a:fillRect/>
                          </a:stretch>
                        </pic:blipFill>
                        <pic:spPr>
                          <a:xfrm>
                            <a:off x="0" y="0"/>
                            <a:ext cx="864000" cy="864000"/>
                          </a:xfrm>
                          <a:prstGeom prst="rect">
                            <a:avLst/>
                          </a:prstGeom>
                        </pic:spPr>
                      </pic:pic>
                    </a:graphicData>
                  </a:graphic>
                </wp:inline>
              </w:drawing>
            </w:r>
          </w:p>
          <w:p>
            <w:pPr>
              <w:spacing w:before="0" w:after="0"/>
              <w:jc w:val="center"/>
            </w:pPr>
            <w:r>
              <w:rPr>
                <w:color w:val="566377"/>
                <w:sz w:val="16"/>
              </w:rPr>
              <w:t xml:space="preserve">Primary logo</w:t>
            </w:r>
          </w:p>
        </w:tc>
      </w:tr>
    </w:tbl>
    <w:p>
      <w:pPr>
        <w:spacing w:before="0" w:after="60"/>
      </w:pPr>
    </w:p>
    <w:p>
      <w:pPr>
        <w:pStyle w:val="Heading1"/>
        <w:keepNext/>
      </w:pPr>
      <w:r>
        <w:t xml:space="preserve">Latest news about Imperial Homes Mortgage Bank</w:t>
      </w:r>
    </w:p>
    <w:p>
      <w:pPr>
        <w:spacing w:before="0" w:after="50"/>
      </w:pPr>
      <w:r>
        <w:rPr>
          <w:color w:val="566377"/>
          <w:sz w:val="18"/>
        </w:rPr>
        <w:t xml:space="preserve">9 Apr 2026   </w:t>
      </w:r>
      <w:hyperlink r:id="rId14">
        <w:r>
          <w:rPr>
            <w:rStyle w:val="Hyperlink"/>
          </w:rPr>
          <w:t xml:space="preserve">University of Lagos (UNILAG): Courses, School Fees, Admission Requirements and Rankings 2026</w:t>
        </w:r>
      </w:hyperlink>
    </w:p>
    <w:p>
      <w:r>
        <w:rPr>
          <w:i/>
          <w:color w:val="566377"/>
          <w:sz w:val="17"/>
        </w:rPr>
        <w:t xml:space="preserve">Articles published on Brands.Ng that mention this company.</w:t>
      </w:r>
    </w:p>
    <w:p>
      <w:pPr>
        <w:pStyle w:val="Heading1"/>
        <w:keepNext/>
      </w:pPr>
      <w:r>
        <w:t xml:space="preserve">Media, contacts and social</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Lagos</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5">
              <w:r>
                <w:rPr>
                  <w:rStyle w:val="Hyperlink"/>
                </w:rPr>
                <w:t xml:space="preserve">https://www.imperialmortgagebank.com/</w:t>
              </w:r>
            </w:hyperlink>
          </w:p>
        </w:tc>
      </w:tr>
    </w:tbl>
    <w:p>
      <w:pPr>
        <w:spacing w:before="0" w:after="60"/>
      </w:pPr>
    </w:p>
    <w:p>
      <w:pPr>
        <w:pStyle w:val="Heading1"/>
        <w:keepNext/>
      </w:pPr>
      <w:r>
        <w:t xml:space="preserve">About this document</w:t>
      </w:r>
    </w:p>
    <w:p>
      <w:pPr>
        <w:shd w:val="clear" w:color="auto" w:fill="F7F9FC"/>
        <w:spacing w:before="0" w:after="40"/>
        <w:ind w:left="80"/>
      </w:pPr>
      <w:r>
        <w:rPr>
          <w:sz w:val="18"/>
        </w:rPr>
        <w:t xml:space="preserve">Generated on 15 October 2026 from the Brands.Ng Brand Passport.</w:t>
      </w:r>
    </w:p>
    <w:p>
      <w:pPr>
        <w:shd w:val="clear" w:color="auto" w:fill="F7F9FC"/>
        <w:spacing w:before="0" w:after="40"/>
        <w:ind w:left="80"/>
      </w:pPr>
      <w:r>
        <w:rPr>
          <w:sz w:val="18"/>
        </w:rPr>
        <w:t xml:space="preserve">It contains only published, sourced information and may have changed since. Check the linked sources before relying on a fact.</w:t>
      </w:r>
    </w:p>
    <w:p>
      <w:pPr>
        <w:shd w:val="clear" w:color="auto" w:fill="F7F9FC"/>
        <w:spacing w:before="0" w:after="40"/>
        <w:ind w:left="80"/>
      </w:pPr>
      <w:r>
        <w:rPr>
          <w:sz w:val="18"/>
        </w:rPr>
        <w:t xml:space="preserve">"Verified" means Brands.Ng has verified the company through its own review process. It is not a government certification and does not guarantee every statement.</w:t>
      </w:r>
    </w:p>
    <w:p>
      <w:pPr>
        <w:shd w:val="clear" w:color="auto" w:fill="F7F9FC"/>
        <w:spacing w:before="0" w:after="120"/>
        <w:ind w:left="80"/>
      </w:pPr>
      <w:r>
        <w:rPr>
          <w:b/>
          <w:color w:val="566377"/>
          <w:sz w:val="18"/>
        </w:rPr>
        <w:t xml:space="preserve">Live profile:  </w:t>
      </w:r>
      <w:hyperlink r:id="rId16">
        <w:r>
          <w:rPr>
            <w:rStyle w:val="Hyperlink"/>
          </w:rPr>
          <w:t xml:space="preserve">https://brands.ng/companies/imperial-homes-mortgage-bank/</w:t>
        </w:r>
      </w:hyperlink>
    </w:p>
    <w:p>
      <w:pPr>
        <w:keepNext/>
        <w:spacing w:before="60" w:after="40"/>
      </w:pPr>
      <w:r>
        <w:rPr>
          <w:b/>
          <w:caps/>
          <w:color w:val="566377"/>
          <w:sz w:val="16"/>
        </w:rPr>
        <w:t xml:space="preserve">How to read the source labels</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300"/>
        <w:gridCol w:w="6338"/>
      </w:tblGrid>
      <w:tr>
        <w:trPr>
          <w:cantSplit/>
        </w:trPr>
        <w:tc>
          <w:tcPr>
            <w:tcW w:w="3300" w:type="dxa"/>
            <w:vAlign w:val="top"/>
          </w:tcPr>
          <w:p>
            <w:pPr>
              <w:spacing w:before="0" w:after="0"/>
            </w:pPr>
            <w:r>
              <w:rPr>
                <w:b/>
                <w:color w:val="262578"/>
                <w:sz w:val="18"/>
              </w:rPr>
              <w:t xml:space="preserve">Company-confirmed</w:t>
            </w:r>
          </w:p>
        </w:tc>
        <w:tc>
          <w:tcPr>
            <w:tcW w:w="6338" w:type="dxa"/>
            <w:vAlign w:val="top"/>
          </w:tcPr>
          <w:p>
            <w:pPr>
              <w:spacing w:before="0" w:after="0"/>
            </w:pPr>
            <w:r>
              <w:rPr>
                <w:color w:val="566377"/>
                <w:sz w:val="18"/>
              </w:rPr>
              <w:t xml:space="preserve">Supplied by an authorised company representative and approved by Brands.Ng.</w:t>
            </w:r>
          </w:p>
        </w:tc>
      </w:tr>
      <w:tr>
        <w:trPr>
          <w:cantSplit/>
        </w:trPr>
        <w:tc>
          <w:tcPr>
            <w:tcW w:w="3300" w:type="dxa"/>
            <w:vAlign w:val="top"/>
          </w:tcPr>
          <w:p>
            <w:pPr>
              <w:spacing w:before="0" w:after="0"/>
            </w:pPr>
            <w:r>
              <w:rPr>
                <w:b/>
                <w:color w:val="262578"/>
                <w:sz w:val="18"/>
              </w:rPr>
              <w:t xml:space="preserve">Publicly documented</w:t>
            </w:r>
          </w:p>
        </w:tc>
        <w:tc>
          <w:tcPr>
            <w:tcW w:w="6338" w:type="dxa"/>
            <w:vAlign w:val="top"/>
          </w:tcPr>
          <w:p>
            <w:pPr>
              <w:spacing w:before="0" w:after="0"/>
            </w:pPr>
            <w:r>
              <w:rPr>
                <w:color w:val="566377"/>
                <w:sz w:val="18"/>
              </w:rPr>
              <w:t xml:space="preserve">Backed by a regulator or other primary record.</w:t>
            </w:r>
          </w:p>
        </w:tc>
      </w:tr>
      <w:tr>
        <w:trPr>
          <w:cantSplit/>
        </w:trPr>
        <w:tc>
          <w:tcPr>
            <w:tcW w:w="3300" w:type="dxa"/>
            <w:vAlign w:val="top"/>
          </w:tcPr>
          <w:p>
            <w:pPr>
              <w:spacing w:before="0" w:after="0"/>
            </w:pPr>
            <w:r>
              <w:rPr>
                <w:b/>
                <w:color w:val="262578"/>
                <w:sz w:val="18"/>
              </w:rPr>
              <w:t xml:space="preserve">Reported by independent source</w:t>
            </w:r>
          </w:p>
        </w:tc>
        <w:tc>
          <w:tcPr>
            <w:tcW w:w="6338" w:type="dxa"/>
            <w:vAlign w:val="top"/>
          </w:tcPr>
          <w:p>
            <w:pPr>
              <w:spacing w:before="0" w:after="0"/>
            </w:pPr>
            <w:r>
              <w:rPr>
                <w:color w:val="566377"/>
                <w:sz w:val="18"/>
              </w:rPr>
              <w:t xml:space="preserve">Reported by a publication that is not the company.</w:t>
            </w:r>
          </w:p>
        </w:tc>
      </w:tr>
      <w:tr>
        <w:trPr>
          <w:cantSplit/>
        </w:trPr>
        <w:tc>
          <w:tcPr>
            <w:tcW w:w="3300" w:type="dxa"/>
            <w:vAlign w:val="top"/>
          </w:tcPr>
          <w:p>
            <w:pPr>
              <w:spacing w:before="0" w:after="0"/>
            </w:pPr>
            <w:r>
              <w:rPr>
                <w:b/>
                <w:color w:val="262578"/>
                <w:sz w:val="18"/>
              </w:rPr>
              <w:t xml:space="preserve">Brands.Ng research</w:t>
            </w:r>
          </w:p>
        </w:tc>
        <w:tc>
          <w:tcPr>
            <w:tcW w:w="6338" w:type="dxa"/>
            <w:vAlign w:val="top"/>
          </w:tcPr>
          <w:p>
            <w:pPr>
              <w:spacing w:before="0" w:after="0"/>
            </w:pPr>
            <w:r>
              <w:rPr>
                <w:color w:val="566377"/>
                <w:sz w:val="18"/>
              </w:rPr>
              <w:t xml:space="preserve">Compiled by Brands.Ng editors; never counted as independent corroboration.</w:t>
            </w:r>
          </w:p>
        </w:tc>
      </w:tr>
      <w:tr>
        <w:trPr>
          <w:cantSplit/>
        </w:trPr>
        <w:tc>
          <w:tcPr>
            <w:tcW w:w="3300" w:type="dxa"/>
            <w:vAlign w:val="top"/>
          </w:tcPr>
          <w:p>
            <w:pPr>
              <w:spacing w:before="0" w:after="0"/>
            </w:pPr>
            <w:r>
              <w:rPr>
                <w:b/>
                <w:color w:val="262578"/>
                <w:sz w:val="18"/>
              </w:rPr>
              <w:t xml:space="preserve">Not publicly verified</w:t>
            </w:r>
          </w:p>
        </w:tc>
        <w:tc>
          <w:tcPr>
            <w:tcW w:w="6338" w:type="dxa"/>
            <w:vAlign w:val="top"/>
          </w:tcPr>
          <w:p>
            <w:pPr>
              <w:spacing w:before="0" w:after="0"/>
            </w:pPr>
            <w:r>
              <w:rPr>
                <w:color w:val="566377"/>
                <w:sz w:val="18"/>
              </w:rPr>
              <w:t xml:space="preserve">No source yet. It is left blank rather than guessed.</w:t>
            </w:r>
          </w:p>
        </w:tc>
      </w:tr>
    </w:tbl>
    <w:p>
      <w:pPr>
        <w:spacing w:before="0" w:after="60"/>
      </w:pPr>
    </w:p>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E3E8F1"/>
      </w:pBdr>
      <w:tabs>
        <w:tab w:val="right" w:pos="9638"/>
      </w:tabs>
    </w:pPr>
    <w:r>
      <w:rPr>
        <w:color w:val="566377"/>
        <w:sz w:val="16"/>
      </w:rPr>
      <w:t xml:space="preserve">Brands.Ng Brand Passport  |  Imperial Homes Mortgage Bank</w:t>
    </w:r>
    <w:r>
      <w:tab/>
    </w:r>
    <w:r>
      <w:rPr>
        <w:color w:val="566377"/>
        <w:sz w:val="16"/>
      </w:rPr>
      <w:t xml:space="preserve">Page </w:t>
    </w:r>
    <w:r>
      <w:rPr>
        <w:color w:val="566377"/>
        <w:sz w:val="16"/>
      </w:rPr>
      <w:fldChar w:fldCharType="begin"/>
    </w:r>
    <w:r>
      <w:rPr>
        <w:color w:val="566377"/>
        <w:sz w:val="16"/>
      </w:rPr>
      <w:instrText xml:space="preserve"> PAGE </w:instrText>
    </w:r>
    <w:r>
      <w:rPr>
        <w:color w:val="566377"/>
        <w:sz w:val="16"/>
      </w:rPr>
      <w:fldChar w:fldCharType="separate"/>
    </w:r>
    <w:r>
      <w:rPr>
        <w:color w:val="566377"/>
        <w:sz w:val="16"/>
      </w:rPr>
      <w:t>1</w:t>
    </w:r>
    <w:r>
      <w:rPr>
        <w:color w:val="566377"/>
        <w:sz w:val="16"/>
      </w:rPr>
      <w:fldChar w:fldCharType="end"/>
    </w:r>
    <w:r>
      <w:rPr>
        <w:color w:val="566377"/>
        <w:sz w:val="16"/>
      </w:rPr>
      <w:t xml:space="preserve"> of </w:t>
    </w:r>
    <w:r>
      <w:rPr>
        <w:color w:val="566377"/>
        <w:sz w:val="16"/>
      </w:rPr>
      <w:fldChar w:fldCharType="begin"/>
    </w:r>
    <w:r>
      <w:rPr>
        <w:color w:val="566377"/>
        <w:sz w:val="16"/>
      </w:rPr>
      <w:instrText xml:space="preserve"> NUMPAGES </w:instrText>
    </w:r>
    <w:r>
      <w:rPr>
        <w:color w:val="566377"/>
        <w:sz w:val="16"/>
      </w:rPr>
      <w:fldChar w:fldCharType="separate"/>
    </w:r>
    <w:r>
      <w:rPr>
        <w:color w:val="566377"/>
        <w:sz w:val="16"/>
      </w:rPr>
      <w:t>1</w:t>
    </w:r>
    <w:r>
      <w:rPr>
        <w:color w:val="566377"/>
        <w:sz w:val="16"/>
      </w:rPr>
      <w:fldChar w:fldCharType="end"/>
    </w:r>
  </w:p>
</w:ftr>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eastAsia="Calibri" w:cs="Calibri"/>
        <w:color w:val="0F172A"/>
        <w:sz w:val="21"/>
        <w:szCs w:val="21"/>
        <w:lang w:val="en-GB"/>
      </w:rPr>
    </w:rPrDefault>
    <w:pPrDefault>
      <w:pPr>
        <w:spacing w:after="80" w:line="264" w:lineRule="auto"/>
      </w:pPr>
    </w:pPrDefault>
  </w:docDefaults>
  <w:style w:type="paragraph" w:default="1" w:styleId="Normal">
    <w:name w:val="Normal"/>
    <w:qFormat/>
  </w:style>
  <w:style w:type="paragraph" w:styleId="Heading1">
    <w:name w:val="heading 1"/>
    <w:basedOn w:val="Normal"/>
    <w:next w:val="Normal"/>
    <w:qFormat/>
    <w:pPr>
      <w:keepNext/>
      <w:pBdr>
        <w:bottom w:val="single" w:sz="6" w:space="3" w:color="262578"/>
      </w:pBdr>
      <w:spacing w:before="320" w:after="140"/>
      <w:outlineLvl w:val="0"/>
    </w:pPr>
    <w:rPr>
      <w:b/>
      <w:color w:val="262578"/>
      <w:sz w:val="28"/>
      <w:szCs w:val="28"/>
    </w:rPr>
  </w:style>
  <w:style w:type="character" w:styleId="Hyperlink">
    <w:name w:val="Hyperlink"/>
    <w:rPr>
      <w:color w:val="1D4ED8"/>
      <w:u w:val="single"/>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3" Type="http://schemas.openxmlformats.org/officeDocument/2006/relationships/footer" Target="footer1.xml"/><Relationship Id="rId12" Type="http://schemas.openxmlformats.org/officeDocument/2006/relationships/hyperlink" Target="https://www.imperialmortgagebank.com/" TargetMode="External"/><Relationship Id="rId14" Type="http://schemas.openxmlformats.org/officeDocument/2006/relationships/hyperlink" Target="https://brands.ng/university-of-lagos-unilag-review-2026-courses-cut-off-mark-school-fees-real-student-experience/" TargetMode="External"/><Relationship Id="rId15" Type="http://schemas.openxmlformats.org/officeDocument/2006/relationships/hyperlink" Target="https://www.imperialmortgagebank.com/" TargetMode="External"/><Relationship Id="rId16" Type="http://schemas.openxmlformats.org/officeDocument/2006/relationships/hyperlink" Target="https://brands.ng/companies/imperial-homes-mortgage-bank/" TargetMode="External"/><Relationship Id="rId11" Type="http://schemas.openxmlformats.org/officeDocument/2006/relationships/image" Target="media/image1.png"/><Relationship Id="rId13" Type="http://schemas.openxmlformats.org/officeDocument/2006/relationships/image" Target="media/image2.png"/></Relationships>
</file>

<file path=docProps/app.xml><?xml version="1.0" encoding="utf-8"?>
<Properties xmlns="http://schemas.openxmlformats.org/officeDocument/2006/extended-properties">
  <Application>Brands.Ng Brand Passport</Application>
</Properties>
</file>

<file path=docProps/core.xml><?xml version="1.0" encoding="utf-8"?>
<cp:coreProperties xmlns:cp="http://schemas.openxmlformats.org/package/2006/metadata/core-properties" xmlns:dc="http://purl.org/dc/elements/1.1/" xmlns:dcterms="http://purl.org/dc/terms/" xmlns:xsi="http://www.w3.org/2001/XMLSchema-instance">
  <dc:title>Imperial Homes Mortgage Bank - Brand Profile</dc:title>
  <dc:subject>Brand profile of Imperial Homes Mortgage Bank</dc:subject>
  <dc:creator>Brands.Ng</dc:creator>
  <dcterms:created xsi:type="dcterms:W3CDTF">2026-10-15T21:01:40Z</dcterms:created>
</cp:coreProperties>
</file>