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tbl>
      <w:tblPr>
        <w:tblW w:w="9638" w:type="dxa"/>
        <w:tblBorders>
          <w:top w:val="nil"/>
          <w:left w:val="nil"/>
          <w:bottom w:val="nil"/>
          <w:right w:val="nil"/>
          <w:insideH w:val="nil"/>
          <w:insideV w:val="nil"/>
        </w:tblBorders>
        <w:tblLayout w:type="fixed"/>
        <w:tblCellMar>
          <w:top w:w="70" w:type="dxa"/>
          <w:left w:w="110" w:type="dxa"/>
          <w:bottom w:w="70" w:type="dxa"/>
          <w:right w:w="110" w:type="dxa"/>
        </w:tblCellMar>
      </w:tblPr>
      <w:tblGrid>
        <w:gridCol w:w="200"/>
        <w:gridCol w:w="2200"/>
        <w:gridCol w:w="7238"/>
      </w:tblGrid>
      <w:tr>
        <w:tc>
          <w:tcPr>
            <w:tcW w:w="200" w:type="dxa"/>
            <w:shd w:val="clear" w:color="auto" w:fill="262578"/>
            <w:vAlign w:val="center"/>
          </w:tcPr>
          <w:p/>
        </w:tc>
        <w:tc>
          <w:tcPr>
            <w:tcW w:w="2200" w:type="dxa"/>
            <w:shd w:val="clear" w:color="auto" w:fill="FFFFFF"/>
            <w:vAlign w:val="center"/>
          </w:tcPr>
          <w:p>
            <w:pPr>
              <w:spacing w:before="120" w:after="120"/>
              <w:jc w:val="center"/>
            </w:pPr>
            <w:r>
              <w:drawing>
                <wp:inline distT="0" distB="0" distL="0" distR="0">
                  <wp:extent cx="1008000" cy="1008000"/>
                  <wp:docPr id="2" name="Picture 2" descr="Chapel Hill Denham logo"/>
                  <wp:cNvGraphicFramePr>
                    <a:graphicFrameLocks noChangeAspect="1"/>
                  </wp:cNvGraphicFramePr>
                  <a:graphic>
                    <a:graphicData uri="http://schemas.openxmlformats.org/drawingml/2006/picture">
                      <pic:pic>
                        <pic:nvPicPr>
                          <pic:cNvPr id="2" name="image1.png" descr="Chapel Hill Denham logo"/>
                          <pic:cNvPicPr/>
                        </pic:nvPicPr>
                        <pic:blipFill>
                          <a:blip r:embed="rId11"/>
                          <a:stretch>
                            <a:fillRect/>
                          </a:stretch>
                        </pic:blipFill>
                        <pic:spPr>
                          <a:xfrm>
                            <a:off x="0" y="0"/>
                            <a:ext cx="1008000" cy="1008000"/>
                          </a:xfrm>
                          <a:prstGeom prst="rect">
                            <a:avLst/>
                          </a:prstGeom>
                        </pic:spPr>
                      </pic:pic>
                    </a:graphicData>
                  </a:graphic>
                </wp:inline>
              </w:drawing>
            </w:r>
          </w:p>
        </w:tc>
        <w:tc>
          <w:tcPr>
            <w:tcW w:w="7238" w:type="dxa"/>
            <w:shd w:val="clear" w:color="auto" w:fill="262578"/>
            <w:vAlign w:val="center"/>
          </w:tcPr>
          <w:p>
            <w:pPr>
              <w:spacing w:before="0" w:after="40"/>
            </w:pPr>
            <w:r>
              <w:rPr>
                <w:b/>
                <w:color w:val="FFFFFF"/>
                <w:sz w:val="48"/>
              </w:rPr>
              <w:t xml:space="preserve">Chapel Hill Denham</w:t>
            </w:r>
          </w:p>
          <w:p>
            <w:pPr>
              <w:spacing w:before="80" w:after="0"/>
            </w:pPr>
            <w:r>
              <w:rPr>
                <w:b/>
                <w:color w:val="FFFFFF"/>
                <w:sz w:val="18"/>
              </w:rPr>
              <w:t xml:space="preserve">Unclaimed profile   |   Banking, Finance, Investments   |   Nigeria</w:t>
            </w:r>
          </w:p>
        </w:tc>
      </w:tr>
    </w:tbl>
    <w:p>
      <w:pPr>
        <w:spacing w:before="0" w:after="60"/>
      </w:pP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4819"/>
        <w:gridCol w:w="4819"/>
      </w:tblGrid>
      <w:tr>
        <w:trPr>
          <w:cantSplit/>
        </w:trPr>
        <w:tc>
          <w:tcPr>
            <w:tcW w:w="4819" w:type="dxa"/>
            <w:vAlign w:val="top"/>
          </w:tcPr>
          <w:p>
            <w:pPr>
              <w:spacing w:before="0" w:after="20"/>
            </w:pPr>
            <w:r>
              <w:rPr>
                <w:b/>
                <w:sz w:val="30"/>
              </w:rPr>
              <w:t xml:space="preserve">2005</w:t>
            </w:r>
          </w:p>
          <w:p>
            <w:pPr>
              <w:spacing w:before="0" w:after="0"/>
            </w:pPr>
            <w:r>
              <w:rPr>
                <w:color w:val="566377"/>
                <w:sz w:val="17"/>
              </w:rPr>
              <w:t xml:space="preserve">Founded</w:t>
            </w:r>
          </w:p>
        </w:tc>
        <w:tc>
          <w:tcPr>
            <w:tcW w:w="4819" w:type="dxa"/>
            <w:vAlign w:val="top"/>
          </w:tcPr>
          <w:p>
            <w:pPr>
              <w:spacing w:before="0" w:after="20"/>
            </w:pPr>
            <w:r>
              <w:rPr>
                <w:b/>
                <w:sz w:val="30"/>
              </w:rPr>
              <w:t xml:space="preserve">1</w:t>
            </w:r>
          </w:p>
          <w:p>
            <w:pPr>
              <w:spacing w:before="0" w:after="0"/>
            </w:pPr>
            <w:r>
              <w:rPr>
                <w:color w:val="566377"/>
                <w:sz w:val="17"/>
              </w:rPr>
              <w:t xml:space="preserve">Leader profiled</w:t>
            </w:r>
          </w:p>
        </w:tc>
      </w:tr>
    </w:tbl>
    <w:p>
      <w:pPr>
        <w:spacing w:before="0" w:after="60"/>
      </w:pPr>
    </w:p>
    <w:p>
      <w:pPr>
        <w:spacing w:before="0" w:after="120"/>
      </w:pPr>
      <w:r>
        <w:rPr>
          <w:i/>
          <w:color w:val="566377"/>
          <w:sz w:val="16"/>
        </w:rPr>
        <w:t xml:space="preserve">Facts drawn from Brands.Ng records.</w:t>
      </w:r>
    </w:p>
    <w:p>
      <w:pPr>
        <w:pStyle w:val="Heading1"/>
        <w:keepNext/>
      </w:pPr>
      <w:r>
        <w:t xml:space="preserve">Key information</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Industry</w:t>
            </w:r>
          </w:p>
        </w:tc>
        <w:tc>
          <w:tcPr>
            <w:tcW w:w="7238" w:type="dxa"/>
            <w:vAlign w:val="top"/>
          </w:tcPr>
          <w:p>
            <w:pPr>
              <w:spacing w:before="0" w:after="0"/>
            </w:pPr>
            <w:r>
              <w:rPr>
                <w:b/>
              </w:rPr>
              <w:t xml:space="preserve">Banking, Finance, Investments</w:t>
            </w:r>
          </w:p>
        </w:tc>
      </w:tr>
      <w:tr>
        <w:trPr>
          <w:cantSplit/>
        </w:trPr>
        <w:tc>
          <w:tcPr>
            <w:tcW w:w="2400" w:type="dxa"/>
            <w:shd w:val="clear" w:color="auto" w:fill="F7F9FC"/>
            <w:vAlign w:val="top"/>
          </w:tcPr>
          <w:p>
            <w:pPr>
              <w:spacing w:before="0" w:after="0"/>
            </w:pPr>
            <w:r>
              <w:rPr>
                <w:color w:val="566377"/>
                <w:sz w:val="19"/>
              </w:rPr>
              <w:t xml:space="preserve">Country</w:t>
            </w:r>
          </w:p>
        </w:tc>
        <w:tc>
          <w:tcPr>
            <w:tcW w:w="7238" w:type="dxa"/>
            <w:vAlign w:val="top"/>
          </w:tcPr>
          <w:p>
            <w:pPr>
              <w:spacing w:before="0" w:after="0"/>
            </w:pPr>
            <w:r>
              <w:rPr>
                <w:b/>
              </w:rPr>
              <w:t xml:space="preserve">Nigeria</w:t>
            </w:r>
          </w:p>
        </w:tc>
      </w:tr>
      <w:tr>
        <w:trPr>
          <w:cantSplit/>
        </w:trPr>
        <w:tc>
          <w:tcPr>
            <w:tcW w:w="2400" w:type="dxa"/>
            <w:shd w:val="clear" w:color="auto" w:fill="F7F9FC"/>
            <w:vAlign w:val="top"/>
          </w:tcPr>
          <w:p>
            <w:pPr>
              <w:spacing w:before="0" w:after="0"/>
            </w:pPr>
            <w:r>
              <w:rPr>
                <w:color w:val="566377"/>
                <w:sz w:val="19"/>
              </w:rPr>
              <w:t xml:space="preserve">Founded</w:t>
            </w:r>
          </w:p>
        </w:tc>
        <w:tc>
          <w:tcPr>
            <w:tcW w:w="7238" w:type="dxa"/>
            <w:vAlign w:val="top"/>
          </w:tcPr>
          <w:p>
            <w:pPr>
              <w:spacing w:before="0" w:after="0"/>
            </w:pPr>
            <w:r>
              <w:rPr>
                <w:b/>
              </w:rPr>
              <w:t xml:space="preserve">2005</w:t>
            </w:r>
          </w:p>
        </w:tc>
      </w:tr>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10 Bankole Oki Street, Ikoyi, Lagos</w:t>
            </w:r>
          </w:p>
        </w:tc>
      </w:tr>
      <w:tr>
        <w:trPr>
          <w:cantSplit/>
        </w:trPr>
        <w:tc>
          <w:tcPr>
            <w:tcW w:w="2400" w:type="dxa"/>
            <w:shd w:val="clear" w:color="auto" w:fill="F7F9FC"/>
            <w:vAlign w:val="top"/>
          </w:tcPr>
          <w:p>
            <w:pPr>
              <w:spacing w:before="0" w:after="0"/>
            </w:pPr>
            <w:r>
              <w:rPr>
                <w:color w:val="566377"/>
                <w:sz w:val="19"/>
              </w:rPr>
              <w:t xml:space="preserve">Website</w:t>
            </w:r>
          </w:p>
        </w:tc>
        <w:tc>
          <w:tcPr>
            <w:tcW w:w="7238" w:type="dxa"/>
            <w:vAlign w:val="top"/>
          </w:tcPr>
          <w:p>
            <w:pPr>
              <w:spacing w:before="0" w:after="0"/>
            </w:pPr>
            <w:hyperlink r:id="rId12">
              <w:r>
                <w:rPr>
                  <w:rStyle w:val="Hyperlink"/>
                </w:rPr>
                <w:t xml:space="preserve">chapelhilldenham.com</w:t>
              </w:r>
            </w:hyperlink>
          </w:p>
        </w:tc>
      </w:tr>
      <w:tr>
        <w:trPr>
          <w:cantSplit/>
        </w:trPr>
        <w:tc>
          <w:tcPr>
            <w:tcW w:w="2400" w:type="dxa"/>
            <w:shd w:val="clear" w:color="auto" w:fill="F7F9FC"/>
            <w:vAlign w:val="top"/>
          </w:tcPr>
          <w:p>
            <w:pPr>
              <w:spacing w:before="0" w:after="0"/>
            </w:pPr>
            <w:r>
              <w:rPr>
                <w:color w:val="566377"/>
                <w:sz w:val="19"/>
              </w:rPr>
              <w:t xml:space="preserve">Employees</w:t>
            </w:r>
          </w:p>
        </w:tc>
        <w:tc>
          <w:tcPr>
            <w:tcW w:w="7238" w:type="dxa"/>
            <w:vAlign w:val="top"/>
          </w:tcPr>
          <w:p>
            <w:pPr>
              <w:spacing w:before="0" w:after="0"/>
            </w:pPr>
            <w:r>
              <w:rPr>
                <w:b/>
              </w:rPr>
              <w:t xml:space="preserve">150+</w:t>
            </w:r>
          </w:p>
        </w:tc>
      </w:tr>
    </w:tbl>
    <w:p>
      <w:pPr>
        <w:spacing w:before="0" w:after="60"/>
      </w:pPr>
    </w:p>
    <w:p>
      <w:pPr>
        <w:pStyle w:val="Heading1"/>
        <w:keepNext/>
      </w:pPr>
      <w:r>
        <w:t xml:space="preserve">About</w:t>
      </w:r>
    </w:p>
    <w:p>
      <w:pPr>
        <w:spacing w:before="0" w:after="100"/>
      </w:pPr>
      <w:r>
        <w:t xml:space="preserve">Chapel Hill Denham is an independent Nigerian investment banking, securities-trading, and investment-management firm headquartered in Ikoyi, Lagos. Founded in 2005 by Bolaji Balogun, the firm was established to provide advisory, execution, and investment services to corporations, governments, institutions, business owners, and individual investors in Nigeria and across West Africa. Although some profiles cite 2014 as its founding year, the company’s official history identifies 2005 as the year it was established.</w:t>
      </w:r>
    </w:p>
    <w:p>
      <w:pPr>
        <w:spacing w:before="0" w:after="100"/>
      </w:pPr>
      <w:r>
        <w:t xml:space="preserve">Unlike investment-banking businesses owned by commercial banks or larger financial conglomerates, Chapel Hill Denham operates as an independent financial-services firm. This structure enables it to provide advice and investment solutions without being directly tied to the balance sheet, lending priorities, or corporate interests of a parent bank. Its business covers investment banking, securities trading, investment management, research, and alternative asset management.</w:t>
      </w:r>
    </w:p>
    <w:p>
      <w:pPr>
        <w:spacing w:before="0" w:after="100"/>
      </w:pPr>
      <w:r>
        <w:t xml:space="preserve">The firm’s advisory business works with public- and private-sector clients on corporate finance, project finance, mergers and acquisitions, capital raising, restructuring, privatisation, and other strategic transactions. A major area of its work has been the financing and development of infrastructure and energy-related projects. Chapel Hill Denham has advised and helped structure investment vehicles designed to attract long-term capital to sectors such as power, energy, transport, and other areas of economic infrastructure.</w:t>
      </w:r>
    </w:p>
    <w:p>
      <w:pPr>
        <w:spacing w:before="0" w:after="100"/>
      </w:pPr>
      <w:r>
        <w:t xml:space="preserve">One example of this focus is the Chapel Hill Denham Nigeria Infrastructure Debt Fund, which was established in 2017 to support investment in Nigerian infrastructure, including power and energy projects. In 2019, the African Development Bank approved a naira-equivalent investment of US$10 million in the fund. The fund was described as the first and only listed local-currency infrastructure debt fund in Africa at the time.</w:t>
      </w:r>
    </w:p>
    <w:p>
      <w:pPr>
        <w:shd w:val="clear" w:color="auto" w:fill="E5E5EF"/>
        <w:spacing w:before="80" w:after="120"/>
        <w:ind w:left="120"/>
      </w:pPr>
      <w:r>
        <w:rPr>
          <w:b/>
        </w:rPr>
        <w:t xml:space="preserve">To be West Africa's leading independent investment banking firm, delivering innovative capital solutions for infrastructure and economic development.</w:t>
      </w:r>
      <w:r>
        <w:rPr>
          <w:i/>
          <w:color w:val="566377"/>
          <w:sz w:val="17"/>
        </w:rPr>
        <w:t xml:space="preserve">   Mission statement</w:t>
      </w:r>
    </w:p>
    <w:p>
      <w:pPr>
        <w:pStyle w:val="Heading1"/>
        <w:keepNext/>
      </w:pPr>
      <w:r>
        <w:t xml:space="preserve">Trust and reputation measures</w:t>
      </w:r>
    </w:p>
    <w:tbl>
      <w:tblPr>
        <w:tblW w:w="9636"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9"/>
        <w:gridCol w:w="2409"/>
        <w:gridCol w:w="2409"/>
        <w:gridCol w:w="2409"/>
      </w:tblGrid>
      <w:tr>
        <w:trPr>
          <w:cantSplit/>
        </w:trPr>
        <w:tc>
          <w:tcPr>
            <w:tcW w:w="2409" w:type="dxa"/>
            <w:vAlign w:val="top"/>
          </w:tcPr>
          <w:p>
            <w:pPr>
              <w:spacing w:before="0" w:after="20"/>
            </w:pPr>
            <w:r>
              <w:rPr>
                <w:b/>
                <w:color w:val="566377"/>
                <w:sz w:val="17"/>
              </w:rPr>
              <w:t xml:space="preserve">Trust Score</w:t>
            </w:r>
          </w:p>
          <w:p>
            <w:pPr>
              <w:spacing w:before="0" w:after="20"/>
            </w:pPr>
            <w:r>
              <w:rPr>
                <w:b/>
                <w:sz w:val="24"/>
              </w:rPr>
              <w:t xml:space="preserve">Not yet rated</w:t>
            </w:r>
          </w:p>
          <w:p>
            <w:pPr>
              <w:spacing w:before="0" w:after="0"/>
            </w:pPr>
            <w:r>
              <w:rPr>
                <w:color w:val="566377"/>
                <w:sz w:val="17"/>
              </w:rPr>
              <w:t xml:space="preserve">Needs reviews and evidence</w:t>
            </w:r>
          </w:p>
        </w:tc>
        <w:tc>
          <w:tcPr>
            <w:tcW w:w="2409" w:type="dxa"/>
            <w:vAlign w:val="top"/>
          </w:tcPr>
          <w:p>
            <w:pPr>
              <w:spacing w:before="0" w:after="20"/>
            </w:pPr>
            <w:r>
              <w:rPr>
                <w:b/>
                <w:color w:val="566377"/>
                <w:sz w:val="17"/>
              </w:rPr>
              <w:t xml:space="preserve">Profile Strength</w:t>
            </w:r>
          </w:p>
          <w:p>
            <w:pPr>
              <w:spacing w:before="0" w:after="20"/>
            </w:pPr>
            <w:r>
              <w:rPr>
                <w:b/>
                <w:sz w:val="24"/>
              </w:rPr>
              <w:t xml:space="preserve">47/100</w:t>
            </w:r>
          </w:p>
          <w:p>
            <w:pPr>
              <w:spacing w:before="0" w:after="0"/>
            </w:pPr>
            <w:r>
              <w:rPr>
                <w:color w:val="566377"/>
                <w:sz w:val="17"/>
              </w:rPr>
              <w:t xml:space="preserve">Partially Complete</w:t>
            </w:r>
          </w:p>
        </w:tc>
        <w:tc>
          <w:tcPr>
            <w:tcW w:w="2409" w:type="dxa"/>
            <w:vAlign w:val="top"/>
          </w:tcPr>
          <w:p>
            <w:pPr>
              <w:spacing w:before="0" w:after="20"/>
            </w:pPr>
            <w:r>
              <w:rPr>
                <w:b/>
                <w:color w:val="566377"/>
                <w:sz w:val="17"/>
              </w:rPr>
              <w:t xml:space="preserve">Evidence</w:t>
            </w:r>
          </w:p>
          <w:p>
            <w:pPr>
              <w:spacing w:before="0" w:after="20"/>
            </w:pPr>
            <w:r>
              <w:rPr>
                <w:b/>
                <w:sz w:val="24"/>
              </w:rPr>
              <w:t xml:space="preserve">No evidence recorded yet</w:t>
            </w:r>
          </w:p>
          <w:p>
            <w:pPr>
              <w:spacing w:before="0" w:after="0"/>
            </w:pPr>
          </w:p>
        </w:tc>
        <w:tc>
          <w:tcPr>
            <w:tcW w:w="2409" w:type="dxa"/>
            <w:vAlign w:val="top"/>
          </w:tcPr>
          <w:p>
            <w:pPr>
              <w:spacing w:before="0" w:after="20"/>
            </w:pPr>
            <w:r>
              <w:rPr>
                <w:b/>
                <w:color w:val="566377"/>
                <w:sz w:val="17"/>
              </w:rPr>
              <w:t xml:space="preserve">Status</w:t>
            </w:r>
          </w:p>
          <w:p>
            <w:pPr>
              <w:spacing w:before="0" w:after="20"/>
            </w:pPr>
            <w:r>
              <w:rPr>
                <w:b/>
                <w:sz w:val="24"/>
              </w:rPr>
              <w:t xml:space="preserve">Unclaimed profile</w:t>
            </w:r>
          </w:p>
          <w:p>
            <w:pPr>
              <w:spacing w:before="0" w:after="0"/>
            </w:pPr>
          </w:p>
        </w:tc>
      </w:tr>
    </w:tbl>
    <w:p>
      <w:pPr>
        <w:spacing w:before="0" w:after="60"/>
      </w:pPr>
    </w:p>
    <w:p>
      <w:pPr>
        <w:spacing w:before="0" w:after="40"/>
      </w:pPr>
      <w:r>
        <w:rPr>
          <w:b/>
          <w:color w:val="262578"/>
          <w:sz w:val="17"/>
        </w:rPr>
        <w:t xml:space="preserve">Brands Trust Score  </w:t>
      </w:r>
      <w:r>
        <w:rPr>
          <w:i/>
          <w:color w:val="566377"/>
          <w:sz w:val="17"/>
        </w:rPr>
        <w:t xml:space="preserve">A reputation measure built from approved reviews and evidence under a published methodology. It is not a measure of how complete a profile is, and payment never changes it.</w:t>
      </w:r>
    </w:p>
    <w:p>
      <w:pPr>
        <w:spacing w:before="0" w:after="40"/>
      </w:pPr>
      <w:r>
        <w:rPr>
          <w:b/>
          <w:color w:val="262578"/>
          <w:sz w:val="17"/>
        </w:rPr>
        <w:t xml:space="preserve">Profile Strength  </w:t>
      </w:r>
      <w:r>
        <w:rPr>
          <w:i/>
          <w:color w:val="566377"/>
          <w:sz w:val="17"/>
        </w:rPr>
        <w:t xml:space="preserve">How complete and well maintained the profile is. It does not change the Trust Score.</w:t>
      </w:r>
    </w:p>
    <w:p>
      <w:pPr>
        <w:spacing w:before="0" w:after="40"/>
      </w:pPr>
      <w:r>
        <w:rPr>
          <w:b/>
          <w:color w:val="262578"/>
          <w:sz w:val="17"/>
        </w:rPr>
        <w:t xml:space="preserve">Evidence coverage  </w:t>
      </w:r>
      <w:r>
        <w:rPr>
          <w:i/>
          <w:color w:val="566377"/>
          <w:sz w:val="17"/>
        </w:rPr>
        <w:t xml:space="preserve">How much of this profile is backed by recorded sources, and how independent they are.</w:t>
      </w:r>
    </w:p>
    <w:p>
      <w:pPr>
        <w:spacing w:before="0" w:after="40"/>
      </w:pPr>
      <w:r>
        <w:rPr>
          <w:b/>
          <w:color w:val="262578"/>
          <w:sz w:val="17"/>
        </w:rPr>
        <w:t xml:space="preserve">Status  </w:t>
      </w:r>
      <w:r>
        <w:rPr>
          <w:i/>
          <w:color w:val="566377"/>
          <w:sz w:val="17"/>
        </w:rPr>
        <w:t xml:space="preserve">No company representative has claimed this profile yet. It is compiled from public sources by Brands.Ng.</w:t>
      </w:r>
    </w:p>
    <w:p>
      <w:pPr>
        <w:pStyle w:val="Heading1"/>
        <w:keepNext/>
      </w:pPr>
      <w:r>
        <w:t xml:space="preserve">Brand identity</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9638"/>
      </w:tblGrid>
      <w:tr>
        <w:trPr>
          <w:cantSplit/>
        </w:trPr>
        <w:tc>
          <w:tcPr>
            <w:tcW w:w="9638" w:type="dxa"/>
            <w:shd w:val="clear" w:color="auto" w:fill="FFFFFF"/>
            <w:vAlign w:val="center"/>
          </w:tcPr>
          <w:p>
            <w:pPr>
              <w:spacing w:before="60" w:after="60"/>
              <w:jc w:val="center"/>
            </w:pPr>
            <w:r>
              <w:drawing>
                <wp:inline distT="0" distB="0" distL="0" distR="0">
                  <wp:extent cx="864000" cy="864000"/>
                  <wp:docPr id="3" name="Picture 3" descr="Primary logo"/>
                  <wp:cNvGraphicFramePr>
                    <a:graphicFrameLocks noChangeAspect="1"/>
                  </wp:cNvGraphicFramePr>
                  <a:graphic>
                    <a:graphicData uri="http://schemas.openxmlformats.org/drawingml/2006/picture">
                      <pic:pic>
                        <pic:nvPicPr>
                          <pic:cNvPr id="3" name="image2.png" descr="Primary logo"/>
                          <pic:cNvPicPr/>
                        </pic:nvPicPr>
                        <pic:blipFill>
                          <a:blip r:embed="rId13"/>
                          <a:stretch>
                            <a:fillRect/>
                          </a:stretch>
                        </pic:blipFill>
                        <pic:spPr>
                          <a:xfrm>
                            <a:off x="0" y="0"/>
                            <a:ext cx="864000" cy="864000"/>
                          </a:xfrm>
                          <a:prstGeom prst="rect">
                            <a:avLst/>
                          </a:prstGeom>
                        </pic:spPr>
                      </pic:pic>
                    </a:graphicData>
                  </a:graphic>
                </wp:inline>
              </w:drawing>
            </w:r>
          </w:p>
          <w:p>
            <w:pPr>
              <w:spacing w:before="0" w:after="0"/>
              <w:jc w:val="center"/>
            </w:pPr>
            <w:r>
              <w:rPr>
                <w:color w:val="566377"/>
                <w:sz w:val="16"/>
              </w:rPr>
              <w:t xml:space="preserve">Primary logo</w:t>
            </w:r>
          </w:p>
        </w:tc>
      </w:tr>
    </w:tbl>
    <w:p>
      <w:pPr>
        <w:spacing w:before="0" w:after="60"/>
      </w:pPr>
    </w:p>
    <w:p>
      <w:pPr>
        <w:pStyle w:val="Heading1"/>
        <w:keepNext/>
      </w:pPr>
      <w:r>
        <w:t xml:space="preserve">Products and services</w:t>
      </w:r>
    </w:p>
    <w:p>
      <w:pPr>
        <w:spacing w:before="0" w:after="30"/>
        <w:ind w:left="120"/>
      </w:pPr>
      <w:r>
        <w:t xml:space="preserve">•  Investment banking</w:t>
      </w:r>
    </w:p>
    <w:p>
      <w:pPr>
        <w:spacing w:before="0" w:after="30"/>
        <w:ind w:left="120"/>
      </w:pPr>
      <w:r>
        <w:t xml:space="preserve">•  project and infrastructure finance</w:t>
      </w:r>
    </w:p>
    <w:p>
      <w:pPr>
        <w:spacing w:before="0" w:after="30"/>
        <w:ind w:left="120"/>
      </w:pPr>
      <w:r>
        <w:t xml:space="preserve">•  securities trading</w:t>
      </w:r>
    </w:p>
    <w:p>
      <w:pPr>
        <w:spacing w:before="0" w:after="30"/>
        <w:ind w:left="120"/>
      </w:pPr>
      <w:r>
        <w:t xml:space="preserve">•  alternative asset management</w:t>
      </w:r>
    </w:p>
    <w:p>
      <w:pPr>
        <w:spacing w:before="0" w:after="30"/>
        <w:ind w:left="120"/>
      </w:pPr>
      <w:r>
        <w:t xml:space="preserve">•  and impact investing</w:t>
      </w:r>
    </w:p>
    <w:p>
      <w:pPr>
        <w:spacing w:before="40" w:after="0"/>
      </w:pPr>
      <w:r>
        <w:rPr>
          <w:i/>
          <w:color w:val="566377"/>
          <w:sz w:val="17"/>
        </w:rPr>
        <w:t xml:space="preserve">Listed in the company profile.</w:t>
      </w:r>
    </w:p>
    <w:p>
      <w:pPr>
        <w:pStyle w:val="Heading1"/>
        <w:keepNext/>
      </w:pPr>
      <w:r>
        <w:t xml:space="preserve">Leadership</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3000"/>
        <w:gridCol w:w="4200"/>
        <w:gridCol w:w="2438"/>
      </w:tblGrid>
      <w:tr>
        <w:trPr>
          <w:cantSplit/>
        </w:trPr>
        <w:tc>
          <w:tcPr>
            <w:tcW w:w="3000" w:type="dxa"/>
            <w:vAlign w:val="top"/>
          </w:tcPr>
          <w:p>
            <w:pPr>
              <w:spacing w:before="0" w:after="0"/>
            </w:pPr>
            <w:r>
              <w:rPr>
                <w:b/>
              </w:rPr>
              <w:t xml:space="preserve">Bolaji Balogun</w:t>
            </w:r>
          </w:p>
        </w:tc>
        <w:tc>
          <w:tcPr>
            <w:tcW w:w="4200" w:type="dxa"/>
            <w:vAlign w:val="top"/>
          </w:tcPr>
          <w:p>
            <w:pPr>
              <w:spacing w:before="0" w:after="0"/>
            </w:pPr>
            <w:r>
              <w:t xml:space="preserve">Chief Executive Officer</w:t>
            </w:r>
          </w:p>
        </w:tc>
        <w:tc>
          <w:tcPr>
            <w:tcW w:w="2438" w:type="dxa"/>
            <w:vAlign w:val="top"/>
          </w:tcPr>
          <w:p>
            <w:pPr>
              <w:spacing w:before="0" w:after="0"/>
              <w:jc w:val="right"/>
            </w:pPr>
          </w:p>
        </w:tc>
      </w:tr>
    </w:tbl>
    <w:p>
      <w:pPr>
        <w:spacing w:before="0" w:after="60"/>
      </w:pPr>
    </w:p>
    <w:p>
      <w:pPr>
        <w:pStyle w:val="Heading1"/>
        <w:keepNext/>
      </w:pPr>
      <w:r>
        <w:t xml:space="preserve">Latest news about Chapel Hill Denham</w:t>
      </w:r>
    </w:p>
    <w:p>
      <w:pPr>
        <w:spacing w:before="0" w:after="50"/>
      </w:pPr>
      <w:r>
        <w:rPr>
          <w:color w:val="566377"/>
          <w:sz w:val="18"/>
        </w:rPr>
        <w:t xml:space="preserve">19 Aug 2026   </w:t>
      </w:r>
      <w:hyperlink r:id="rId14">
        <w:r>
          <w:rPr>
            <w:rStyle w:val="Hyperlink"/>
          </w:rPr>
          <w:t xml:space="preserve">From Econet to Chapel Hill Denham: How Bolaji Balogun Built a Nigerian Deal-Making Powerhouse</w:t>
        </w:r>
      </w:hyperlink>
    </w:p>
    <w:p>
      <w:r>
        <w:rPr>
          <w:i/>
          <w:color w:val="566377"/>
          <w:sz w:val="17"/>
        </w:rPr>
        <w:t xml:space="preserve">Articles published on Brands.Ng that mention this company.</w:t>
      </w:r>
    </w:p>
    <w:p>
      <w:pPr>
        <w:pStyle w:val="Heading1"/>
        <w:keepNext/>
      </w:pPr>
      <w:r>
        <w:t xml:space="preserve">Media, contacts and social</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2400"/>
        <w:gridCol w:w="7238"/>
      </w:tblGrid>
      <w:tr>
        <w:trPr>
          <w:cantSplit/>
        </w:trPr>
        <w:tc>
          <w:tcPr>
            <w:tcW w:w="2400" w:type="dxa"/>
            <w:shd w:val="clear" w:color="auto" w:fill="F7F9FC"/>
            <w:vAlign w:val="top"/>
          </w:tcPr>
          <w:p>
            <w:pPr>
              <w:spacing w:before="0" w:after="0"/>
            </w:pPr>
            <w:r>
              <w:rPr>
                <w:color w:val="566377"/>
                <w:sz w:val="19"/>
              </w:rPr>
              <w:t xml:space="preserve">Head office</w:t>
            </w:r>
          </w:p>
        </w:tc>
        <w:tc>
          <w:tcPr>
            <w:tcW w:w="7238" w:type="dxa"/>
            <w:vAlign w:val="top"/>
          </w:tcPr>
          <w:p>
            <w:pPr>
              <w:spacing w:before="0" w:after="0"/>
            </w:pPr>
            <w:r>
              <w:rPr>
                <w:b/>
              </w:rPr>
              <w:t xml:space="preserve">10 Bankole Oki Street, Ikoyi, Lagos</w:t>
            </w:r>
          </w:p>
        </w:tc>
      </w:tr>
      <w:tr>
        <w:trPr>
          <w:cantSplit/>
        </w:trPr>
        <w:tc>
          <w:tcPr>
            <w:tcW w:w="2400" w:type="dxa"/>
            <w:shd w:val="clear" w:color="auto" w:fill="F7F9FC"/>
            <w:vAlign w:val="top"/>
          </w:tcPr>
          <w:p>
            <w:pPr>
              <w:spacing w:before="0" w:after="0"/>
            </w:pPr>
            <w:r>
              <w:rPr>
                <w:color w:val="566377"/>
                <w:sz w:val="19"/>
              </w:rPr>
              <w:t xml:space="preserve">Website</w:t>
            </w:r>
          </w:p>
        </w:tc>
        <w:tc>
          <w:tcPr>
            <w:tcW w:w="7238" w:type="dxa"/>
            <w:vAlign w:val="top"/>
          </w:tcPr>
          <w:p>
            <w:pPr>
              <w:spacing w:before="0" w:after="0"/>
            </w:pPr>
            <w:hyperlink r:id="rId15">
              <w:r>
                <w:rPr>
                  <w:rStyle w:val="Hyperlink"/>
                </w:rPr>
                <w:t xml:space="preserve">https://www.chapelhilldenham.com</w:t>
              </w:r>
            </w:hyperlink>
          </w:p>
        </w:tc>
      </w:tr>
    </w:tbl>
    <w:p>
      <w:pPr>
        <w:spacing w:before="0" w:after="60"/>
      </w:pPr>
    </w:p>
    <w:p>
      <w:pPr>
        <w:pStyle w:val="Heading1"/>
        <w:keepNext/>
      </w:pPr>
      <w:r>
        <w:t xml:space="preserve">About this document</w:t>
      </w:r>
    </w:p>
    <w:p>
      <w:pPr>
        <w:shd w:val="clear" w:color="auto" w:fill="F7F9FC"/>
        <w:spacing w:before="0" w:after="40"/>
        <w:ind w:left="80"/>
      </w:pPr>
      <w:r>
        <w:rPr>
          <w:sz w:val="18"/>
        </w:rPr>
        <w:t xml:space="preserve">Generated on 14 October 2026 from the Brands.Ng Brand Passport.</w:t>
      </w:r>
    </w:p>
    <w:p>
      <w:pPr>
        <w:shd w:val="clear" w:color="auto" w:fill="F7F9FC"/>
        <w:spacing w:before="0" w:after="40"/>
        <w:ind w:left="80"/>
      </w:pPr>
      <w:r>
        <w:rPr>
          <w:sz w:val="18"/>
        </w:rPr>
        <w:t xml:space="preserve">It contains only published, sourced information and may have changed since. Check the linked sources before relying on a fact.</w:t>
      </w:r>
    </w:p>
    <w:p>
      <w:pPr>
        <w:shd w:val="clear" w:color="auto" w:fill="F7F9FC"/>
        <w:spacing w:before="0" w:after="40"/>
        <w:ind w:left="80"/>
      </w:pPr>
      <w:r>
        <w:rPr>
          <w:sz w:val="18"/>
        </w:rPr>
        <w:t xml:space="preserve">"Verified" means Brands.Ng has verified the company through its own review process. It is not a government certification and does not guarantee every statement.</w:t>
      </w:r>
    </w:p>
    <w:p>
      <w:pPr>
        <w:shd w:val="clear" w:color="auto" w:fill="F7F9FC"/>
        <w:spacing w:before="0" w:after="120"/>
        <w:ind w:left="80"/>
      </w:pPr>
      <w:r>
        <w:rPr>
          <w:b/>
          <w:color w:val="566377"/>
          <w:sz w:val="18"/>
        </w:rPr>
        <w:t xml:space="preserve">Live profile:  </w:t>
      </w:r>
      <w:hyperlink r:id="rId16">
        <w:r>
          <w:rPr>
            <w:rStyle w:val="Hyperlink"/>
          </w:rPr>
          <w:t xml:space="preserve">https://brands.ng/companies/chapel-hill-denham/</w:t>
        </w:r>
      </w:hyperlink>
    </w:p>
    <w:p>
      <w:pPr>
        <w:keepNext/>
        <w:spacing w:before="60" w:after="40"/>
      </w:pPr>
      <w:r>
        <w:rPr>
          <w:b/>
          <w:caps/>
          <w:color w:val="566377"/>
          <w:sz w:val="16"/>
        </w:rPr>
        <w:t xml:space="preserve">How to read the source labels</w:t>
      </w:r>
    </w:p>
    <w:tbl>
      <w:tblPr>
        <w:tblW w:w="9638" w:type="dxa"/>
        <w:tblBorders>
          <w:top w:val="single" w:sz="4" w:space="0" w:color="E3E8F1"/>
          <w:left w:val="single" w:sz="4" w:space="0" w:color="E3E8F1"/>
          <w:bottom w:val="single" w:sz="4" w:space="0" w:color="E3E8F1"/>
          <w:right w:val="single" w:sz="4" w:space="0" w:color="E3E8F1"/>
          <w:insideH w:val="single" w:sz="4" w:space="0" w:color="E3E8F1"/>
          <w:insideV w:val="single" w:sz="4" w:space="0" w:color="E3E8F1"/>
        </w:tblBorders>
        <w:tblLayout w:type="fixed"/>
        <w:tblCellMar>
          <w:top w:w="70" w:type="dxa"/>
          <w:left w:w="110" w:type="dxa"/>
          <w:bottom w:w="70" w:type="dxa"/>
          <w:right w:w="110" w:type="dxa"/>
        </w:tblCellMar>
      </w:tblPr>
      <w:tblGrid>
        <w:gridCol w:w="3300"/>
        <w:gridCol w:w="6338"/>
      </w:tblGrid>
      <w:tr>
        <w:trPr>
          <w:cantSplit/>
        </w:trPr>
        <w:tc>
          <w:tcPr>
            <w:tcW w:w="3300" w:type="dxa"/>
            <w:vAlign w:val="top"/>
          </w:tcPr>
          <w:p>
            <w:pPr>
              <w:spacing w:before="0" w:after="0"/>
            </w:pPr>
            <w:r>
              <w:rPr>
                <w:b/>
                <w:color w:val="262578"/>
                <w:sz w:val="18"/>
              </w:rPr>
              <w:t xml:space="preserve">Company-confirmed</w:t>
            </w:r>
          </w:p>
        </w:tc>
        <w:tc>
          <w:tcPr>
            <w:tcW w:w="6338" w:type="dxa"/>
            <w:vAlign w:val="top"/>
          </w:tcPr>
          <w:p>
            <w:pPr>
              <w:spacing w:before="0" w:after="0"/>
            </w:pPr>
            <w:r>
              <w:rPr>
                <w:color w:val="566377"/>
                <w:sz w:val="18"/>
              </w:rPr>
              <w:t xml:space="preserve">Supplied by an authorised company representative and approved by Brands.Ng.</w:t>
            </w:r>
          </w:p>
        </w:tc>
      </w:tr>
      <w:tr>
        <w:trPr>
          <w:cantSplit/>
        </w:trPr>
        <w:tc>
          <w:tcPr>
            <w:tcW w:w="3300" w:type="dxa"/>
            <w:vAlign w:val="top"/>
          </w:tcPr>
          <w:p>
            <w:pPr>
              <w:spacing w:before="0" w:after="0"/>
            </w:pPr>
            <w:r>
              <w:rPr>
                <w:b/>
                <w:color w:val="262578"/>
                <w:sz w:val="18"/>
              </w:rPr>
              <w:t xml:space="preserve">Publicly documented</w:t>
            </w:r>
          </w:p>
        </w:tc>
        <w:tc>
          <w:tcPr>
            <w:tcW w:w="6338" w:type="dxa"/>
            <w:vAlign w:val="top"/>
          </w:tcPr>
          <w:p>
            <w:pPr>
              <w:spacing w:before="0" w:after="0"/>
            </w:pPr>
            <w:r>
              <w:rPr>
                <w:color w:val="566377"/>
                <w:sz w:val="18"/>
              </w:rPr>
              <w:t xml:space="preserve">Backed by a regulator or other primary record.</w:t>
            </w:r>
          </w:p>
        </w:tc>
      </w:tr>
      <w:tr>
        <w:trPr>
          <w:cantSplit/>
        </w:trPr>
        <w:tc>
          <w:tcPr>
            <w:tcW w:w="3300" w:type="dxa"/>
            <w:vAlign w:val="top"/>
          </w:tcPr>
          <w:p>
            <w:pPr>
              <w:spacing w:before="0" w:after="0"/>
            </w:pPr>
            <w:r>
              <w:rPr>
                <w:b/>
                <w:color w:val="262578"/>
                <w:sz w:val="18"/>
              </w:rPr>
              <w:t xml:space="preserve">Reported by independent source</w:t>
            </w:r>
          </w:p>
        </w:tc>
        <w:tc>
          <w:tcPr>
            <w:tcW w:w="6338" w:type="dxa"/>
            <w:vAlign w:val="top"/>
          </w:tcPr>
          <w:p>
            <w:pPr>
              <w:spacing w:before="0" w:after="0"/>
            </w:pPr>
            <w:r>
              <w:rPr>
                <w:color w:val="566377"/>
                <w:sz w:val="18"/>
              </w:rPr>
              <w:t xml:space="preserve">Reported by a publication that is not the company.</w:t>
            </w:r>
          </w:p>
        </w:tc>
      </w:tr>
      <w:tr>
        <w:trPr>
          <w:cantSplit/>
        </w:trPr>
        <w:tc>
          <w:tcPr>
            <w:tcW w:w="3300" w:type="dxa"/>
            <w:vAlign w:val="top"/>
          </w:tcPr>
          <w:p>
            <w:pPr>
              <w:spacing w:before="0" w:after="0"/>
            </w:pPr>
            <w:r>
              <w:rPr>
                <w:b/>
                <w:color w:val="262578"/>
                <w:sz w:val="18"/>
              </w:rPr>
              <w:t xml:space="preserve">Brands.Ng research</w:t>
            </w:r>
          </w:p>
        </w:tc>
        <w:tc>
          <w:tcPr>
            <w:tcW w:w="6338" w:type="dxa"/>
            <w:vAlign w:val="top"/>
          </w:tcPr>
          <w:p>
            <w:pPr>
              <w:spacing w:before="0" w:after="0"/>
            </w:pPr>
            <w:r>
              <w:rPr>
                <w:color w:val="566377"/>
                <w:sz w:val="18"/>
              </w:rPr>
              <w:t xml:space="preserve">Compiled by Brands.Ng editors; never counted as independent corroboration.</w:t>
            </w:r>
          </w:p>
        </w:tc>
      </w:tr>
      <w:tr>
        <w:trPr>
          <w:cantSplit/>
        </w:trPr>
        <w:tc>
          <w:tcPr>
            <w:tcW w:w="3300" w:type="dxa"/>
            <w:vAlign w:val="top"/>
          </w:tcPr>
          <w:p>
            <w:pPr>
              <w:spacing w:before="0" w:after="0"/>
            </w:pPr>
            <w:r>
              <w:rPr>
                <w:b/>
                <w:color w:val="262578"/>
                <w:sz w:val="18"/>
              </w:rPr>
              <w:t xml:space="preserve">Not publicly verified</w:t>
            </w:r>
          </w:p>
        </w:tc>
        <w:tc>
          <w:tcPr>
            <w:tcW w:w="6338" w:type="dxa"/>
            <w:vAlign w:val="top"/>
          </w:tcPr>
          <w:p>
            <w:pPr>
              <w:spacing w:before="0" w:after="0"/>
            </w:pPr>
            <w:r>
              <w:rPr>
                <w:color w:val="566377"/>
                <w:sz w:val="18"/>
              </w:rPr>
              <w:t xml:space="preserve">No source yet. It is left blank rather than guessed.</w:t>
            </w:r>
          </w:p>
        </w:tc>
      </w:tr>
    </w:tbl>
    <w:p>
      <w:pPr>
        <w:spacing w:before="0" w:after="60"/>
      </w:pPr>
    </w:p>
    <w:sectPr>
      <w:footerReference w:type="default" r:id="rId3"/>
      <w:pgSz w:w="11906" w:h="16838"/>
      <w:pgMar w:top="1134" w:right="1134" w:bottom="1134" w:left="1134" w:header="567" w:footer="567"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Bdr>
        <w:top w:val="single" w:sz="4" w:space="4" w:color="E3E8F1"/>
      </w:pBdr>
      <w:tabs>
        <w:tab w:val="right" w:pos="9638"/>
      </w:tabs>
    </w:pPr>
    <w:r>
      <w:rPr>
        <w:color w:val="566377"/>
        <w:sz w:val="16"/>
      </w:rPr>
      <w:t xml:space="preserve">Brands.Ng Brand Passport  |  Chapel Hill Denham</w:t>
    </w:r>
    <w:r>
      <w:tab/>
    </w:r>
    <w:r>
      <w:rPr>
        <w:color w:val="566377"/>
        <w:sz w:val="16"/>
      </w:rPr>
      <w:t xml:space="preserve">Page </w:t>
    </w:r>
    <w:r>
      <w:rPr>
        <w:color w:val="566377"/>
        <w:sz w:val="16"/>
      </w:rPr>
      <w:fldChar w:fldCharType="begin"/>
    </w:r>
    <w:r>
      <w:rPr>
        <w:color w:val="566377"/>
        <w:sz w:val="16"/>
      </w:rPr>
      <w:instrText xml:space="preserve"> PAGE </w:instrText>
    </w:r>
    <w:r>
      <w:rPr>
        <w:color w:val="566377"/>
        <w:sz w:val="16"/>
      </w:rPr>
      <w:fldChar w:fldCharType="separate"/>
    </w:r>
    <w:r>
      <w:rPr>
        <w:color w:val="566377"/>
        <w:sz w:val="16"/>
      </w:rPr>
      <w:t>1</w:t>
    </w:r>
    <w:r>
      <w:rPr>
        <w:color w:val="566377"/>
        <w:sz w:val="16"/>
      </w:rPr>
      <w:fldChar w:fldCharType="end"/>
    </w:r>
    <w:r>
      <w:rPr>
        <w:color w:val="566377"/>
        <w:sz w:val="16"/>
      </w:rPr>
      <w:t xml:space="preserve"> of </w:t>
    </w:r>
    <w:r>
      <w:rPr>
        <w:color w:val="566377"/>
        <w:sz w:val="16"/>
      </w:rPr>
      <w:fldChar w:fldCharType="begin"/>
    </w:r>
    <w:r>
      <w:rPr>
        <w:color w:val="566377"/>
        <w:sz w:val="16"/>
      </w:rPr>
      <w:instrText xml:space="preserve"> NUMPAGES </w:instrText>
    </w:r>
    <w:r>
      <w:rPr>
        <w:color w:val="566377"/>
        <w:sz w:val="16"/>
      </w:rPr>
      <w:fldChar w:fldCharType="separate"/>
    </w:r>
    <w:r>
      <w:rPr>
        <w:color w:val="566377"/>
        <w:sz w:val="16"/>
      </w:rPr>
      <w:t>1</w:t>
    </w:r>
    <w:r>
      <w:rPr>
        <w:color w:val="566377"/>
        <w:sz w:val="16"/>
      </w:rPr>
      <w:fldChar w:fldCharType="end"/>
    </w:r>
  </w:p>
</w:ftr>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hAnsi="Calibri" w:eastAsia="Calibri" w:cs="Calibri"/>
        <w:color w:val="0F172A"/>
        <w:sz w:val="21"/>
        <w:szCs w:val="21"/>
        <w:lang w:val="en-GB"/>
      </w:rPr>
    </w:rPrDefault>
    <w:pPrDefault>
      <w:pPr>
        <w:spacing w:after="80" w:line="264" w:lineRule="auto"/>
      </w:pPr>
    </w:pPrDefault>
  </w:docDefaults>
  <w:style w:type="paragraph" w:default="1" w:styleId="Normal">
    <w:name w:val="Normal"/>
    <w:qFormat/>
  </w:style>
  <w:style w:type="paragraph" w:styleId="Heading1">
    <w:name w:val="heading 1"/>
    <w:basedOn w:val="Normal"/>
    <w:next w:val="Normal"/>
    <w:qFormat/>
    <w:pPr>
      <w:keepNext/>
      <w:pBdr>
        <w:bottom w:val="single" w:sz="6" w:space="3" w:color="262578"/>
      </w:pBdr>
      <w:spacing w:before="320" w:after="140"/>
      <w:outlineLvl w:val="0"/>
    </w:pPr>
    <w:rPr>
      <w:b/>
      <w:color w:val="262578"/>
      <w:sz w:val="28"/>
      <w:szCs w:val="28"/>
    </w:rPr>
  </w:style>
  <w:style w:type="character" w:styleId="Hyperlink">
    <w:name w:val="Hyperlink"/>
    <w:rPr>
      <w:color w:val="1D4ED8"/>
      <w:u w:val="single"/>
    </w:r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3" Type="http://schemas.openxmlformats.org/officeDocument/2006/relationships/footer" Target="footer1.xml"/><Relationship Id="rId12" Type="http://schemas.openxmlformats.org/officeDocument/2006/relationships/hyperlink" Target="https://www.chapelhilldenham.com" TargetMode="External"/><Relationship Id="rId14" Type="http://schemas.openxmlformats.org/officeDocument/2006/relationships/hyperlink" Target="https://brands.ng/from-econet-to-chapel-hill-denham-how-bolaji-balogun-built-a-nigerian-deal-making-powerhouse/" TargetMode="External"/><Relationship Id="rId15" Type="http://schemas.openxmlformats.org/officeDocument/2006/relationships/hyperlink" Target="https://www.chapelhilldenham.com" TargetMode="External"/><Relationship Id="rId16" Type="http://schemas.openxmlformats.org/officeDocument/2006/relationships/hyperlink" Target="https://brands.ng/companies/chapel-hill-denham/" TargetMode="External"/><Relationship Id="rId11" Type="http://schemas.openxmlformats.org/officeDocument/2006/relationships/image" Target="media/image1.png"/><Relationship Id="rId13" Type="http://schemas.openxmlformats.org/officeDocument/2006/relationships/image" Target="media/image2.png"/></Relationships>
</file>

<file path=docProps/app.xml><?xml version="1.0" encoding="utf-8"?>
<Properties xmlns="http://schemas.openxmlformats.org/officeDocument/2006/extended-properties">
  <Application>Brands.Ng Brand Passport</Application>
</Properties>
</file>

<file path=docProps/core.xml><?xml version="1.0" encoding="utf-8"?>
<cp:coreProperties xmlns:cp="http://schemas.openxmlformats.org/package/2006/metadata/core-properties" xmlns:dc="http://purl.org/dc/elements/1.1/" xmlns:dcterms="http://purl.org/dc/terms/" xmlns:xsi="http://www.w3.org/2001/XMLSchema-instance">
  <dc:title>Chapel Hill Denham - Brand Profile</dc:title>
  <dc:subject>Brand profile of Chapel Hill Denham</dc:subject>
  <dc:creator>Brands.Ng</dc:creator>
  <dcterms:created xsi:type="dcterms:W3CDTF">2026-10-14T13:58:56Z</dcterms:created>
</cp:coreProperties>
</file>